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46E3" w:rsidRPr="00302B0F" w:rsidRDefault="007A2CC0">
      <w:pPr>
        <w:pStyle w:val="Ttulo1"/>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Lineamientos de espacio público en el Plan de Desarrollo Municipal de Armenia 2024-2027 y su articulación con la normativa nacional colombiana</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gestión del espacio público en la ciudad de Armenia se encuentra actualmente en un punto de inflexión estratégico, definido por la transición hacia un modelo de desarrollo urbano que prioriza la calidad de vida, la resiliencia ambiental y la inclusión s</w:t>
      </w:r>
      <w:r w:rsidRPr="00302B0F">
        <w:rPr>
          <w:rFonts w:ascii="Google Sans Text" w:eastAsia="Google Sans Text" w:hAnsi="Google Sans Text" w:cs="Google Sans Text"/>
          <w:color w:val="1F1F1F"/>
          <w:lang w:val="es-ES"/>
        </w:rPr>
        <w:t>ocial. El Plan de Desarrollo Municipal 2024-2027, bajo la denominación "Armenia con más oportunidades", representa el instrumento rector que busca armonizar las necesidades locales de una capital intermedia con las exigencias crecientes del marco normativo</w:t>
      </w:r>
      <w:r w:rsidRPr="00302B0F">
        <w:rPr>
          <w:rFonts w:ascii="Google Sans Text" w:eastAsia="Google Sans Text" w:hAnsi="Google Sans Text" w:cs="Google Sans Text"/>
          <w:color w:val="1F1F1F"/>
          <w:lang w:val="es-ES"/>
        </w:rPr>
        <w:t xml:space="preserve"> nacional colombiano.</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Este documento no solo establece metas físicas de infraestructura, sino que redefine el espacio público como el soporte vital donde se materializan los derechos ciudadanos, la competitividad económica y la sostenibilidad del Paisaje </w:t>
      </w:r>
      <w:r w:rsidRPr="00302B0F">
        <w:rPr>
          <w:rFonts w:ascii="Google Sans Text" w:eastAsia="Google Sans Text" w:hAnsi="Google Sans Text" w:cs="Google Sans Text"/>
          <w:color w:val="1F1F1F"/>
          <w:lang w:val="es-ES"/>
        </w:rPr>
        <w:t>Cultural Cafetero.</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Para comprender la profundidad de estos lineamientos, es imperativo analizar el origen de la ciudad y su configuración territorial. Armenia nació de una gesta de colonización donde la topografía, aunque no siempre adecuada, fue el lienz</w:t>
      </w:r>
      <w:r w:rsidRPr="00302B0F">
        <w:rPr>
          <w:rFonts w:ascii="Google Sans Text" w:eastAsia="Google Sans Text" w:hAnsi="Google Sans Text" w:cs="Google Sans Text"/>
          <w:color w:val="1F1F1F"/>
          <w:lang w:val="es-ES"/>
        </w:rPr>
        <w:t>o para un crecimiento acelerado. La historia local registra que la fundación buscaba un sitio de aprovisionamiento y mercado, lo que imprimió una vocación comercial al espacio público desde sus inicios en la antigua Villa Holguín.</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Hoy, bajo la administrac</w:t>
      </w:r>
      <w:r w:rsidRPr="00302B0F">
        <w:rPr>
          <w:rFonts w:ascii="Google Sans Text" w:eastAsia="Google Sans Text" w:hAnsi="Google Sans Text" w:cs="Google Sans Text"/>
          <w:color w:val="1F1F1F"/>
          <w:lang w:val="es-ES"/>
        </w:rPr>
        <w:t>ión de James Padilla García, esa vocación se transforma mediante una planeación orientada a resultados que reconoce al espacio público no como un área residual, sino como el elemento estructurante fundamental de la ciudad moderna.</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2"/>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 xml:space="preserve">Fundamentación jurídica </w:t>
      </w:r>
      <w:r w:rsidRPr="00302B0F">
        <w:rPr>
          <w:rFonts w:ascii="Google Sans" w:eastAsia="Google Sans" w:hAnsi="Google Sans" w:cs="Google Sans"/>
          <w:color w:val="1F1F1F"/>
          <w:lang w:val="es-ES"/>
        </w:rPr>
        <w:t>y el andamiaje normativo nacional</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1F1F1F"/>
          <w:lang w:val="es-ES"/>
        </w:rPr>
      </w:pPr>
      <w:r w:rsidRPr="00302B0F">
        <w:rPr>
          <w:rFonts w:ascii="Google Sans Text" w:eastAsia="Google Sans Text" w:hAnsi="Google Sans Text" w:cs="Google Sans Text"/>
          <w:color w:val="1F1F1F"/>
          <w:lang w:val="es-ES"/>
        </w:rPr>
        <w:t>La articulación del plan local con la normativa nacional no es un ejercicio meramente administrativo, sino un requisito de legalidad y coherencia técnica que permite el acceso a recursos del orden nacional y garantiza la s</w:t>
      </w:r>
      <w:r w:rsidRPr="00302B0F">
        <w:rPr>
          <w:rFonts w:ascii="Google Sans Text" w:eastAsia="Google Sans Text" w:hAnsi="Google Sans Text" w:cs="Google Sans Text"/>
          <w:color w:val="1F1F1F"/>
          <w:lang w:val="es-ES"/>
        </w:rPr>
        <w:t>eguridad jurídica de las intervenciones. El Plan de Desarrollo de Armenia tiene como fundamento legal la Constitución Política de 1991, que en su artículo 82 impone al Estado el deber de velar por la integridad del espacio público y su destinación al uso c</w:t>
      </w:r>
      <w:r w:rsidRPr="00302B0F">
        <w:rPr>
          <w:rFonts w:ascii="Google Sans Text" w:eastAsia="Google Sans Text" w:hAnsi="Google Sans Text" w:cs="Google Sans Text"/>
          <w:color w:val="1F1F1F"/>
          <w:lang w:val="es-ES"/>
        </w:rPr>
        <w:t>omún.</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Este mandato se complementa con una serie de leyes orgánicas que definen las competencias municipales en materia de planeación y desarrollo territorial.</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La Ley 388 de 1997 y el ordenamiento territorial</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lastRenderedPageBreak/>
        <w:t>La Ley 388 de 1997 es la piedra angular sobre l</w:t>
      </w:r>
      <w:r w:rsidRPr="00302B0F">
        <w:rPr>
          <w:rFonts w:ascii="Google Sans Text" w:eastAsia="Google Sans Text" w:hAnsi="Google Sans Text" w:cs="Google Sans Text"/>
          <w:color w:val="1F1F1F"/>
          <w:lang w:val="es-ES"/>
        </w:rPr>
        <w:t xml:space="preserve">a cual se edifica la acción urbanística en Colombia. Esta norma establece que el ordenamiento del territorio es una función pública que busca, entre otros fines, posibilitar el acceso de los habitantes a las vías públicas, infraestructuras de transporte y </w:t>
      </w:r>
      <w:r w:rsidRPr="00302B0F">
        <w:rPr>
          <w:rFonts w:ascii="Google Sans Text" w:eastAsia="Google Sans Text" w:hAnsi="Google Sans Text" w:cs="Google Sans Text"/>
          <w:color w:val="1F1F1F"/>
          <w:lang w:val="es-ES"/>
        </w:rPr>
        <w:t>espacios de uso común.</w:t>
      </w:r>
      <w:r w:rsidRPr="00302B0F">
        <w:rPr>
          <w:rFonts w:ascii="Google Sans Text" w:eastAsia="Google Sans Text" w:hAnsi="Google Sans Text" w:cs="Google Sans Text"/>
          <w:color w:val="444746"/>
          <w:sz w:val="24"/>
          <w:szCs w:val="24"/>
          <w:vertAlign w:val="superscript"/>
          <w:lang w:val="es-ES"/>
        </w:rPr>
        <w:t>4</w:t>
      </w:r>
      <w:r w:rsidRPr="00302B0F">
        <w:rPr>
          <w:rFonts w:ascii="Google Sans Text" w:eastAsia="Google Sans Text" w:hAnsi="Google Sans Text" w:cs="Google Sans Text"/>
          <w:color w:val="1F1F1F"/>
          <w:lang w:val="es-ES"/>
        </w:rPr>
        <w:t xml:space="preserve"> En Armenia, los lineamientos de espacio público del PDM 2024-2027 se alinean con los principios de la función social y ecológica de la propiedad, garantizando que el uso del suelo no solo responda a intereses privados, sino que gene</w:t>
      </w:r>
      <w:r w:rsidRPr="00302B0F">
        <w:rPr>
          <w:rFonts w:ascii="Google Sans Text" w:eastAsia="Google Sans Text" w:hAnsi="Google Sans Text" w:cs="Google Sans Text"/>
          <w:color w:val="1F1F1F"/>
          <w:lang w:val="es-ES"/>
        </w:rPr>
        <w:t>re beneficios colectivos palpables.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highlight w:val="yellow"/>
          <w:lang w:val="es-ES"/>
        </w:rPr>
        <w:t xml:space="preserve">Un aspecto crítico de la Ley 388 es la prevalencia del interés general sobre el particular, lo cual en el contexto de Armenia se traduce en la recuperación de áreas públicas y la protección de los bordes ambientales de </w:t>
      </w:r>
      <w:r w:rsidRPr="00302B0F">
        <w:rPr>
          <w:rFonts w:ascii="Google Sans Text" w:eastAsia="Google Sans Text" w:hAnsi="Google Sans Text" w:cs="Google Sans Text"/>
          <w:color w:val="1F1F1F"/>
          <w:highlight w:val="yellow"/>
          <w:lang w:val="es-ES"/>
        </w:rPr>
        <w:t>las microcuencas que atraviesan el casco urbano.</w:t>
      </w:r>
      <w:r w:rsidRPr="00302B0F">
        <w:rPr>
          <w:rFonts w:ascii="Google Sans Text" w:eastAsia="Google Sans Text" w:hAnsi="Google Sans Text" w:cs="Google Sans Text"/>
          <w:color w:val="444746"/>
          <w:sz w:val="24"/>
          <w:szCs w:val="24"/>
          <w:vertAlign w:val="superscript"/>
          <w:lang w:val="es-ES"/>
        </w:rPr>
        <w:t>2</w:t>
      </w:r>
      <w:r w:rsidRPr="00302B0F">
        <w:rPr>
          <w:rFonts w:ascii="Google Sans Text" w:eastAsia="Google Sans Text" w:hAnsi="Google Sans Text" w:cs="Google Sans Text"/>
          <w:color w:val="1F1F1F"/>
          <w:lang w:val="es-ES"/>
        </w:rPr>
        <w:t xml:space="preserve"> La normativa nacional exige que los planes de desarrollo sean coherentes con los Planes de Ordenamiento Territorial (POT), asegurando que la infraestructura proyectada sea técnicamente viable y espacialment</w:t>
      </w:r>
      <w:r w:rsidRPr="00302B0F">
        <w:rPr>
          <w:rFonts w:ascii="Google Sans Text" w:eastAsia="Google Sans Text" w:hAnsi="Google Sans Text" w:cs="Google Sans Text"/>
          <w:color w:val="1F1F1F"/>
          <w:lang w:val="es-ES"/>
        </w:rPr>
        <w:t>e armónica.</w:t>
      </w:r>
      <w:r w:rsidRPr="00302B0F">
        <w:rPr>
          <w:rFonts w:ascii="Google Sans Text" w:eastAsia="Google Sans Text" w:hAnsi="Google Sans Text" w:cs="Google Sans Text"/>
          <w:color w:val="444746"/>
          <w:sz w:val="24"/>
          <w:szCs w:val="24"/>
          <w:vertAlign w:val="superscript"/>
          <w:lang w:val="es-ES"/>
        </w:rPr>
        <w:t>6</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El Decreto 1077 de 2015 y los estándares de espacio público efectivo</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bookmarkStart w:id="0" w:name="_GoBack"/>
      <w:bookmarkEnd w:id="0"/>
      <w:r w:rsidRPr="00302B0F">
        <w:rPr>
          <w:rFonts w:ascii="Google Sans Text" w:eastAsia="Google Sans Text" w:hAnsi="Google Sans Text" w:cs="Google Sans Text"/>
          <w:color w:val="1F1F1F"/>
          <w:highlight w:val="yellow"/>
          <w:lang w:val="es-ES"/>
        </w:rPr>
        <w:t>El Decreto 1077 de 2015, Decreto Único Reglamentario del Sector Vivienda, Ciudad y Territorio, proporciona los estándares técnicos para la medición y gestión del espacio públ</w:t>
      </w:r>
      <w:r w:rsidRPr="00302B0F">
        <w:rPr>
          <w:rFonts w:ascii="Google Sans Text" w:eastAsia="Google Sans Text" w:hAnsi="Google Sans Text" w:cs="Google Sans Text"/>
          <w:color w:val="1F1F1F"/>
          <w:highlight w:val="yellow"/>
          <w:lang w:val="es-ES"/>
        </w:rPr>
        <w:t>ico.</w:t>
      </w:r>
      <w:r w:rsidRPr="00302B0F">
        <w:rPr>
          <w:rFonts w:ascii="Google Sans Text" w:eastAsia="Google Sans Text" w:hAnsi="Google Sans Text" w:cs="Google Sans Text"/>
          <w:color w:val="444746"/>
          <w:sz w:val="24"/>
          <w:szCs w:val="24"/>
          <w:highlight w:val="yellow"/>
          <w:vertAlign w:val="superscript"/>
          <w:lang w:val="es-ES"/>
        </w:rPr>
        <w:t>8</w:t>
      </w:r>
      <w:r w:rsidRPr="00302B0F">
        <w:rPr>
          <w:rFonts w:ascii="Google Sans Text" w:eastAsia="Google Sans Text" w:hAnsi="Google Sans Text" w:cs="Google Sans Text"/>
          <w:color w:val="1F1F1F"/>
          <w:highlight w:val="yellow"/>
          <w:lang w:val="es-ES"/>
        </w:rPr>
        <w:t xml:space="preserve"> Este decreto es esencial para la administración municipal de Armenia, ya que define el concepto de "Espacio Público Efectivo" (EPE) como el conjunto de áreas de carácter permanente, conformado por parques, plazas, plazoletas y zonas verdes.</w:t>
      </w:r>
      <w:r w:rsidRPr="00302B0F">
        <w:rPr>
          <w:rFonts w:ascii="Google Sans Text" w:eastAsia="Google Sans Text" w:hAnsi="Google Sans Text" w:cs="Google Sans Text"/>
          <w:color w:val="444746"/>
          <w:sz w:val="24"/>
          <w:szCs w:val="24"/>
          <w:highlight w:val="yellow"/>
          <w:vertAlign w:val="superscript"/>
          <w:lang w:val="es-ES"/>
        </w:rPr>
        <w:t>10</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norm</w:t>
      </w:r>
      <w:r w:rsidRPr="00302B0F">
        <w:rPr>
          <w:rFonts w:ascii="Google Sans Text" w:eastAsia="Google Sans Text" w:hAnsi="Google Sans Text" w:cs="Google Sans Text"/>
          <w:color w:val="1F1F1F"/>
          <w:lang w:val="es-ES"/>
        </w:rPr>
        <w:t>ativa nacional establece un índice mínimo de 15 metros cuadrados de espacio público efectivo por habitante como meta ideal para las ciudades colombianas.</w:t>
      </w:r>
      <w:r w:rsidRPr="00302B0F">
        <w:rPr>
          <w:rFonts w:ascii="Google Sans Text" w:eastAsia="Google Sans Text" w:hAnsi="Google Sans Text" w:cs="Google Sans Text"/>
          <w:color w:val="444746"/>
          <w:sz w:val="24"/>
          <w:szCs w:val="24"/>
          <w:vertAlign w:val="superscript"/>
          <w:lang w:val="es-ES"/>
        </w:rPr>
        <w:t>10</w:t>
      </w:r>
      <w:r w:rsidRPr="00302B0F">
        <w:rPr>
          <w:rFonts w:ascii="Google Sans Text" w:eastAsia="Google Sans Text" w:hAnsi="Google Sans Text" w:cs="Google Sans Text"/>
          <w:color w:val="1F1F1F"/>
          <w:lang w:val="es-ES"/>
        </w:rPr>
        <w:t xml:space="preserve"> Armenia, al igual que muchas capitales departamentales, enfrenta un desafío histórico para alcanzar </w:t>
      </w:r>
      <w:r w:rsidRPr="00302B0F">
        <w:rPr>
          <w:rFonts w:ascii="Google Sans Text" w:eastAsia="Google Sans Text" w:hAnsi="Google Sans Text" w:cs="Google Sans Text"/>
          <w:color w:val="1F1F1F"/>
          <w:lang w:val="es-ES"/>
        </w:rPr>
        <w:t>este estándar. Sin embargo, el PDM 2024-2027 incorpora este indicador en su componente de diagnóstico y seguimiento, buscando no solo aumentar la cantidad de metros cuadrados, sino mejorar la calidad y accesibilidad de los espacios existentes.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0B46E3">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lang w:val="es-ES"/>
        </w:rPr>
      </w:pPr>
    </w:p>
    <w:tbl>
      <w:tblPr>
        <w:tblStyle w:val="a"/>
        <w:tblW w:w="936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120"/>
        <w:gridCol w:w="3120"/>
        <w:gridCol w:w="3120"/>
      </w:tblGrid>
      <w:tr w:rsidR="000B46E3">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b/>
                <w:bCs/>
                <w:color w:val="1F1F1F"/>
              </w:rPr>
            </w:pPr>
            <w:proofErr w:type="spellStart"/>
            <w:r>
              <w:rPr>
                <w:rFonts w:ascii="Google Sans Text" w:eastAsia="Google Sans Text" w:hAnsi="Google Sans Text" w:cs="Google Sans Text"/>
                <w:b/>
                <w:bCs/>
                <w:color w:val="1F1F1F"/>
              </w:rPr>
              <w:t>Instrumento</w:t>
            </w:r>
            <w:proofErr w:type="spellEnd"/>
            <w:r>
              <w:rPr>
                <w:rFonts w:ascii="Google Sans Text" w:eastAsia="Google Sans Text" w:hAnsi="Google Sans Text" w:cs="Google Sans Text"/>
                <w:b/>
                <w:bCs/>
                <w:color w:val="1F1F1F"/>
              </w:rPr>
              <w:t xml:space="preserve"> </w:t>
            </w:r>
            <w:proofErr w:type="spellStart"/>
            <w:r>
              <w:rPr>
                <w:rFonts w:ascii="Google Sans Text" w:eastAsia="Google Sans Text" w:hAnsi="Google Sans Text" w:cs="Google Sans Text"/>
                <w:b/>
                <w:bCs/>
                <w:color w:val="1F1F1F"/>
              </w:rPr>
              <w:t>Normativo</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before="120" w:after="120" w:line="275" w:lineRule="auto"/>
              <w:rPr>
                <w:rFonts w:ascii="Google Sans Text" w:eastAsia="Google Sans Text" w:hAnsi="Google Sans Text" w:cs="Google Sans Text"/>
                <w:b/>
                <w:bCs/>
                <w:color w:val="1F1F1F"/>
                <w:lang w:val="es-ES"/>
              </w:rPr>
            </w:pPr>
            <w:r w:rsidRPr="00302B0F">
              <w:rPr>
                <w:rFonts w:ascii="Google Sans Text" w:eastAsia="Google Sans Text" w:hAnsi="Google Sans Text" w:cs="Google Sans Text"/>
                <w:b/>
                <w:bCs/>
                <w:color w:val="1F1F1F"/>
                <w:lang w:val="es-ES"/>
              </w:rPr>
              <w:t>Alcance en el Espacio Público</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b/>
                <w:bCs/>
                <w:color w:val="1F1F1F"/>
              </w:rPr>
            </w:pPr>
            <w:proofErr w:type="spellStart"/>
            <w:r>
              <w:rPr>
                <w:rFonts w:ascii="Google Sans Text" w:eastAsia="Google Sans Text" w:hAnsi="Google Sans Text" w:cs="Google Sans Text"/>
                <w:b/>
                <w:bCs/>
                <w:color w:val="1F1F1F"/>
              </w:rPr>
              <w:t>Implicación</w:t>
            </w:r>
            <w:proofErr w:type="spellEnd"/>
            <w:r>
              <w:rPr>
                <w:rFonts w:ascii="Google Sans Text" w:eastAsia="Google Sans Text" w:hAnsi="Google Sans Text" w:cs="Google Sans Text"/>
                <w:b/>
                <w:bCs/>
                <w:color w:val="1F1F1F"/>
              </w:rPr>
              <w:t xml:space="preserve"> para Armenia 2024-2027</w:t>
            </w:r>
          </w:p>
        </w:tc>
      </w:tr>
      <w:tr w:rsidR="000B46E3" w:rsidRPr="00302B0F">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Ley 388 de 1997</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Desarrollo</w:t>
            </w:r>
            <w:proofErr w:type="spellEnd"/>
            <w:r>
              <w:rPr>
                <w:rFonts w:ascii="Google Sans Text" w:eastAsia="Google Sans Text" w:hAnsi="Google Sans Text" w:cs="Google Sans Text"/>
                <w:color w:val="1F1F1F"/>
              </w:rPr>
              <w:t xml:space="preserve"> Territorial y </w:t>
            </w:r>
            <w:proofErr w:type="spellStart"/>
            <w:r>
              <w:rPr>
                <w:rFonts w:ascii="Google Sans Text" w:eastAsia="Google Sans Text" w:hAnsi="Google Sans Text" w:cs="Google Sans Text"/>
                <w:color w:val="1F1F1F"/>
              </w:rPr>
              <w:t>Urbanismo</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Define las acciones urbanísticas y la obligación de ceder suelo para espacio público.</w:t>
            </w:r>
            <w:r w:rsidRPr="00302B0F">
              <w:rPr>
                <w:rFonts w:ascii="Google Sans Text" w:eastAsia="Google Sans Text" w:hAnsi="Google Sans Text" w:cs="Google Sans Text"/>
                <w:color w:val="444746"/>
                <w:sz w:val="24"/>
                <w:szCs w:val="24"/>
                <w:vertAlign w:val="superscript"/>
                <w:lang w:val="es-ES"/>
              </w:rPr>
              <w:t>4</w:t>
            </w:r>
          </w:p>
        </w:tc>
      </w:tr>
      <w:tr w:rsidR="000B46E3" w:rsidRPr="00302B0F">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lastRenderedPageBreak/>
              <w:t>Decreto</w:t>
            </w:r>
            <w:proofErr w:type="spellEnd"/>
            <w:r>
              <w:rPr>
                <w:rFonts w:ascii="Google Sans Text" w:eastAsia="Google Sans Text" w:hAnsi="Google Sans Text" w:cs="Google Sans Text"/>
                <w:color w:val="1F1F1F"/>
              </w:rPr>
              <w:t xml:space="preserve"> 1077 de 2015</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Estándares</w:t>
            </w:r>
            <w:proofErr w:type="spellEnd"/>
            <w:r>
              <w:rPr>
                <w:rFonts w:ascii="Google Sans Text" w:eastAsia="Google Sans Text" w:hAnsi="Google Sans Text" w:cs="Google Sans Text"/>
                <w:color w:val="1F1F1F"/>
              </w:rPr>
              <w:t xml:space="preserve"> </w:t>
            </w:r>
            <w:proofErr w:type="spellStart"/>
            <w:r>
              <w:rPr>
                <w:rFonts w:ascii="Google Sans Text" w:eastAsia="Google Sans Text" w:hAnsi="Google Sans Text" w:cs="Google Sans Text"/>
                <w:color w:val="1F1F1F"/>
              </w:rPr>
              <w:t>Urbanísticos</w:t>
            </w:r>
            <w:proofErr w:type="spellEnd"/>
            <w:r>
              <w:rPr>
                <w:rFonts w:ascii="Google Sans Text" w:eastAsia="Google Sans Text" w:hAnsi="Google Sans Text" w:cs="Google Sans Text"/>
                <w:color w:val="1F1F1F"/>
              </w:rPr>
              <w:t xml:space="preserve"> (EPE)</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 xml:space="preserve">Establece el indicador de 15 </w:t>
            </w:r>
            <w:r>
              <w:rPr>
                <w:rFonts w:ascii="Google Sans Text" w:eastAsia="Google Sans Text" w:hAnsi="Google Sans Text" w:cs="Google Sans Text"/>
                <w:noProof/>
                <w:color w:val="1F1F1F"/>
              </w:rPr>
              <w:drawing>
                <wp:inline distT="19050" distB="19050" distL="19050" distR="19050">
                  <wp:extent cx="206216" cy="206216"/>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206216" cy="206216"/>
                          </a:xfrm>
                          <a:prstGeom prst="rect">
                            <a:avLst/>
                          </a:prstGeom>
                          <a:ln/>
                        </pic:spPr>
                      </pic:pic>
                    </a:graphicData>
                  </a:graphic>
                </wp:inline>
              </w:drawing>
            </w:r>
            <w:r w:rsidRPr="00302B0F">
              <w:rPr>
                <w:rFonts w:ascii="Google Sans Text" w:eastAsia="Google Sans Text" w:hAnsi="Google Sans Text" w:cs="Google Sans Text"/>
                <w:color w:val="1F1F1F"/>
                <w:lang w:val="es-ES"/>
              </w:rPr>
              <w:t>/</w:t>
            </w:r>
            <w:proofErr w:type="spellStart"/>
            <w:r w:rsidRPr="00302B0F">
              <w:rPr>
                <w:rFonts w:ascii="Google Sans Text" w:eastAsia="Google Sans Text" w:hAnsi="Google Sans Text" w:cs="Google Sans Text"/>
                <w:color w:val="1F1F1F"/>
                <w:lang w:val="es-ES"/>
              </w:rPr>
              <w:t>hab</w:t>
            </w:r>
            <w:proofErr w:type="spellEnd"/>
            <w:r w:rsidRPr="00302B0F">
              <w:rPr>
                <w:rFonts w:ascii="Google Sans Text" w:eastAsia="Google Sans Text" w:hAnsi="Google Sans Text" w:cs="Google Sans Text"/>
                <w:color w:val="1F1F1F"/>
                <w:lang w:val="es-ES"/>
              </w:rPr>
              <w:t xml:space="preserve"> y la clasificación de elementos constitutivos.</w:t>
            </w:r>
            <w:r w:rsidRPr="00302B0F">
              <w:rPr>
                <w:rFonts w:ascii="Google Sans Text" w:eastAsia="Google Sans Text" w:hAnsi="Google Sans Text" w:cs="Google Sans Text"/>
                <w:color w:val="444746"/>
                <w:sz w:val="24"/>
                <w:szCs w:val="24"/>
                <w:vertAlign w:val="superscript"/>
                <w:lang w:val="es-ES"/>
              </w:rPr>
              <w:t>8</w:t>
            </w:r>
          </w:p>
        </w:tc>
      </w:tr>
      <w:tr w:rsidR="000B46E3" w:rsidRPr="00302B0F">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Ley 152 de 1994</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lang w:val="es-ES"/>
              </w:rPr>
            </w:pPr>
            <w:r w:rsidRPr="00302B0F">
              <w:rPr>
                <w:rFonts w:ascii="Google Sans Text" w:eastAsia="Google Sans Text" w:hAnsi="Google Sans Text" w:cs="Google Sans Text"/>
                <w:color w:val="1F1F1F"/>
                <w:lang w:val="es-ES"/>
              </w:rPr>
              <w:t>Ley Orgánica del Plan de Desarrollo</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Establece los procedimientos para la formulación, aprobación y seguimiento del PDM.</w:t>
            </w:r>
            <w:r w:rsidRPr="00302B0F">
              <w:rPr>
                <w:rFonts w:ascii="Google Sans Text" w:eastAsia="Google Sans Text" w:hAnsi="Google Sans Text" w:cs="Google Sans Text"/>
                <w:color w:val="444746"/>
                <w:sz w:val="24"/>
                <w:szCs w:val="24"/>
                <w:vertAlign w:val="superscript"/>
                <w:lang w:val="es-ES"/>
              </w:rPr>
              <w:t>1</w:t>
            </w:r>
          </w:p>
        </w:tc>
      </w:tr>
      <w:tr w:rsidR="000B46E3" w:rsidRPr="00302B0F">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Ley 2294 de 2023</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 xml:space="preserve">Plan Nacional de </w:t>
            </w:r>
            <w:proofErr w:type="spellStart"/>
            <w:r>
              <w:rPr>
                <w:rFonts w:ascii="Google Sans Text" w:eastAsia="Google Sans Text" w:hAnsi="Google Sans Text" w:cs="Google Sans Text"/>
                <w:color w:val="1F1F1F"/>
              </w:rPr>
              <w:t>Desarrollo</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Promueve el ordenamiento territorial alrededor del agua como eje transformador.</w:t>
            </w:r>
            <w:r w:rsidRPr="00302B0F">
              <w:rPr>
                <w:rFonts w:ascii="Google Sans Text" w:eastAsia="Google Sans Text" w:hAnsi="Google Sans Text" w:cs="Google Sans Text"/>
                <w:color w:val="444746"/>
                <w:sz w:val="24"/>
                <w:szCs w:val="24"/>
                <w:vertAlign w:val="superscript"/>
                <w:lang w:val="es-ES"/>
              </w:rPr>
              <w:t>14</w:t>
            </w:r>
          </w:p>
        </w:tc>
      </w:tr>
      <w:tr w:rsidR="000B46E3" w:rsidRPr="00302B0F">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Conpes</w:t>
            </w:r>
            <w:proofErr w:type="spellEnd"/>
            <w:r>
              <w:rPr>
                <w:rFonts w:ascii="Google Sans Text" w:eastAsia="Google Sans Text" w:hAnsi="Google Sans Text" w:cs="Google Sans Text"/>
                <w:color w:val="1F1F1F"/>
              </w:rPr>
              <w:t xml:space="preserve"> 3718 de 2012</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lang w:val="es-ES"/>
              </w:rPr>
            </w:pPr>
            <w:r w:rsidRPr="00302B0F">
              <w:rPr>
                <w:rFonts w:ascii="Google Sans Text" w:eastAsia="Google Sans Text" w:hAnsi="Google Sans Text" w:cs="Google Sans Text"/>
                <w:color w:val="1F1F1F"/>
                <w:lang w:val="es-ES"/>
              </w:rPr>
              <w:t>Política Nacional de Espacio Público</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Brinda lineamientos para la gestión, financiación y sostenibilidad de las áreas públicas.</w:t>
            </w:r>
            <w:r w:rsidRPr="00302B0F">
              <w:rPr>
                <w:rFonts w:ascii="Google Sans Text" w:eastAsia="Google Sans Text" w:hAnsi="Google Sans Text" w:cs="Google Sans Text"/>
                <w:color w:val="444746"/>
                <w:sz w:val="24"/>
                <w:szCs w:val="24"/>
                <w:vertAlign w:val="superscript"/>
                <w:lang w:val="es-ES"/>
              </w:rPr>
              <w:t>11</w:t>
            </w:r>
          </w:p>
        </w:tc>
      </w:tr>
    </w:tbl>
    <w:p w:rsidR="000B46E3" w:rsidRPr="00302B0F" w:rsidRDefault="007A2CC0">
      <w:pPr>
        <w:pStyle w:val="Ttulo2"/>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El Plan Nacional de Desarrollo 2022-2026: Una visión transformadora</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1F1F1F"/>
          <w:lang w:val="es-ES"/>
        </w:rPr>
      </w:pPr>
      <w:r w:rsidRPr="00302B0F">
        <w:rPr>
          <w:rFonts w:ascii="Google Sans Text" w:eastAsia="Google Sans Text" w:hAnsi="Google Sans Text" w:cs="Google Sans Text"/>
          <w:color w:val="1F1F1F"/>
          <w:lang w:val="es-ES"/>
        </w:rPr>
        <w:t>El PDM de Armenia se articula estrechamente con el Plan Nacional de Desarrollo "Colombia Potencia Mundial de la Vida", particularmente en su enfoque de ordenamiento del territorio alrededor del agua y la búsqueda de la justicia ambiental.</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Esta alineación </w:t>
      </w:r>
      <w:r w:rsidRPr="00302B0F">
        <w:rPr>
          <w:rFonts w:ascii="Google Sans Text" w:eastAsia="Google Sans Text" w:hAnsi="Google Sans Text" w:cs="Google Sans Text"/>
          <w:color w:val="1F1F1F"/>
          <w:lang w:val="es-ES"/>
        </w:rPr>
        <w:t>es fundamental para que el municipio pueda apalancar recursos del nivel central en proyectos de infraestructura verde y saneamiento básico que impactan directamente el espacio público urbano.</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Ordenamiento del territorio alrededor del agua</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normativa naci</w:t>
      </w:r>
      <w:r w:rsidRPr="00302B0F">
        <w:rPr>
          <w:rFonts w:ascii="Google Sans Text" w:eastAsia="Google Sans Text" w:hAnsi="Google Sans Text" w:cs="Google Sans Text"/>
          <w:color w:val="1F1F1F"/>
          <w:lang w:val="es-ES"/>
        </w:rPr>
        <w:t>onal actual propone un cambio en la planificación del ordenamiento, donde la protección de los determinantes ambientales sea el objetivo central.</w:t>
      </w:r>
      <w:r w:rsidRPr="00302B0F">
        <w:rPr>
          <w:rFonts w:ascii="Google Sans Text" w:eastAsia="Google Sans Text" w:hAnsi="Google Sans Text" w:cs="Google Sans Text"/>
          <w:color w:val="444746"/>
          <w:sz w:val="24"/>
          <w:szCs w:val="24"/>
          <w:vertAlign w:val="superscript"/>
          <w:lang w:val="es-ES"/>
        </w:rPr>
        <w:t>17</w:t>
      </w:r>
      <w:r w:rsidRPr="00302B0F">
        <w:rPr>
          <w:rFonts w:ascii="Google Sans Text" w:eastAsia="Google Sans Text" w:hAnsi="Google Sans Text" w:cs="Google Sans Text"/>
          <w:color w:val="1F1F1F"/>
          <w:lang w:val="es-ES"/>
        </w:rPr>
        <w:t xml:space="preserve"> Para Armenia, esto implica que el sistema de espacio público debe integrarse con su estructura ecológica pri</w:t>
      </w:r>
      <w:r w:rsidRPr="00302B0F">
        <w:rPr>
          <w:rFonts w:ascii="Google Sans Text" w:eastAsia="Google Sans Text" w:hAnsi="Google Sans Text" w:cs="Google Sans Text"/>
          <w:color w:val="1F1F1F"/>
          <w:lang w:val="es-ES"/>
        </w:rPr>
        <w:t>ncipal. La ciudad cuenta con una red de cañadas que actúan como drenajes naturales y corredores biológicos; el PDM 2024-2027 proyecta la recuperación de estos espacios no solo como áreas de protección, sino como parques lineales y zonas de recreación pasiv</w:t>
      </w:r>
      <w:r w:rsidRPr="00302B0F">
        <w:rPr>
          <w:rFonts w:ascii="Google Sans Text" w:eastAsia="Google Sans Text" w:hAnsi="Google Sans Text" w:cs="Google Sans Text"/>
          <w:color w:val="1F1F1F"/>
          <w:lang w:val="es-ES"/>
        </w:rPr>
        <w:t>a que reconecten al ciudadano con su entorno hídrico.</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lastRenderedPageBreak/>
        <w:t>Seguridad humana y convergencia regional</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El espacio público es concebido en el PND como un escenario de seguridad humana, donde la reducción de la pobreza y el acceso equitativo a servicios son priorid</w:t>
      </w:r>
      <w:r w:rsidRPr="00302B0F">
        <w:rPr>
          <w:rFonts w:ascii="Google Sans Text" w:eastAsia="Google Sans Text" w:hAnsi="Google Sans Text" w:cs="Google Sans Text"/>
          <w:color w:val="1F1F1F"/>
          <w:lang w:val="es-ES"/>
        </w:rPr>
        <w:t>ades.</w:t>
      </w:r>
      <w:r w:rsidRPr="00302B0F">
        <w:rPr>
          <w:rFonts w:ascii="Google Sans Text" w:eastAsia="Google Sans Text" w:hAnsi="Google Sans Text" w:cs="Google Sans Text"/>
          <w:color w:val="444746"/>
          <w:sz w:val="24"/>
          <w:szCs w:val="24"/>
          <w:vertAlign w:val="superscript"/>
          <w:lang w:val="es-ES"/>
        </w:rPr>
        <w:t>17</w:t>
      </w:r>
      <w:r w:rsidRPr="00302B0F">
        <w:rPr>
          <w:rFonts w:ascii="Google Sans Text" w:eastAsia="Google Sans Text" w:hAnsi="Google Sans Text" w:cs="Google Sans Text"/>
          <w:color w:val="1F1F1F"/>
          <w:lang w:val="es-ES"/>
        </w:rPr>
        <w:t xml:space="preserve"> Armenia traduce este lineamiento en proyectos de convergencia regional, buscando fortalecer su capacidad logística y mejorar la conectividad entre las zonas urbanas y rurales.</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La recuperación de plazas y el fortalecimiento del sector Plaza de Toro</w:t>
      </w:r>
      <w:r w:rsidRPr="00302B0F">
        <w:rPr>
          <w:rFonts w:ascii="Google Sans Text" w:eastAsia="Google Sans Text" w:hAnsi="Google Sans Text" w:cs="Google Sans Text"/>
          <w:color w:val="1F1F1F"/>
          <w:lang w:val="es-ES"/>
        </w:rPr>
        <w:t>s son ejemplos de cómo la infraestructura física se pone al servicio de la justicia social y la revitalización económica.</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2"/>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Propuesta estratégica y enfoques del espacio público en Armenia</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administración municipal ha definido cuatro líneas estratégicas qu</w:t>
      </w:r>
      <w:r w:rsidRPr="00302B0F">
        <w:rPr>
          <w:rFonts w:ascii="Google Sans Text" w:eastAsia="Google Sans Text" w:hAnsi="Google Sans Text" w:cs="Google Sans Text"/>
          <w:color w:val="1F1F1F"/>
          <w:lang w:val="es-ES"/>
        </w:rPr>
        <w:t>e guían la inversión pública.</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espacio público se gestiona transversalmente, pero encuentra su desarrollo más detallado en la Línea 2: "Armenia Moderna" y la Línea 1: "Armenia Territorio Social".</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El enfoque territorial y la reducción de brechas</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El enfo</w:t>
      </w:r>
      <w:r w:rsidRPr="00302B0F">
        <w:rPr>
          <w:rFonts w:ascii="Google Sans Text" w:eastAsia="Google Sans Text" w:hAnsi="Google Sans Text" w:cs="Google Sans Text"/>
          <w:color w:val="1F1F1F"/>
          <w:lang w:val="es-ES"/>
        </w:rPr>
        <w:t>que territorial del plan implica una atención diferenciada de los territorios para cerrar las brechas entre lo urbano y lo rural.</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En Armenia, esto significa que la inversión en parques y equipamiento no debe concentrarse solo en el centro o en los barrios</w:t>
      </w:r>
      <w:r w:rsidRPr="00302B0F">
        <w:rPr>
          <w:rFonts w:ascii="Google Sans Text" w:eastAsia="Google Sans Text" w:hAnsi="Google Sans Text" w:cs="Google Sans Text"/>
          <w:color w:val="1F1F1F"/>
          <w:lang w:val="es-ES"/>
        </w:rPr>
        <w:t xml:space="preserve"> de estratos altos, sino que debe extenderse a las 10 comunas y al corregimiento del Caimo.</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plan reconoce las diversas dinámicas territoriales y busca fortalecer la realidad de cada barrio a través de la participación ciudadana activa en el diseño de s</w:t>
      </w:r>
      <w:r w:rsidRPr="00302B0F">
        <w:rPr>
          <w:rFonts w:ascii="Google Sans Text" w:eastAsia="Google Sans Text" w:hAnsi="Google Sans Text" w:cs="Google Sans Text"/>
          <w:color w:val="1F1F1F"/>
          <w:lang w:val="es-ES"/>
        </w:rPr>
        <w:t>us áreas comunes.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El enfoque de desarrollo humano sostenible</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Bajo este lineamiento, la administración centra sus esfuerzos en los seres humanos en armonía con la naturaleza.</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espacio público en Armenia se planea con principios empáticos que permitan el uso racional de los recursos naturales, garantizando la supervivencia de los ecosistemas locales para las futuras generaciones.</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Esto incluye la implementación de energías re</w:t>
      </w:r>
      <w:r w:rsidRPr="00302B0F">
        <w:rPr>
          <w:rFonts w:ascii="Google Sans Text" w:eastAsia="Google Sans Text" w:hAnsi="Google Sans Text" w:cs="Google Sans Text"/>
          <w:color w:val="1F1F1F"/>
          <w:lang w:val="es-ES"/>
        </w:rPr>
        <w:t>novables en edificios públicos y la reducción paulatina de la huella de carbono de la administración municipal.</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Inclusión, género y accesibilidad universal</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Un pilar fundamental del PDM es el enfoque poblacional y diferencial.</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La normativa nacional, a tra</w:t>
      </w:r>
      <w:r w:rsidRPr="00302B0F">
        <w:rPr>
          <w:rFonts w:ascii="Google Sans Text" w:eastAsia="Google Sans Text" w:hAnsi="Google Sans Text" w:cs="Google Sans Text"/>
          <w:color w:val="1F1F1F"/>
          <w:lang w:val="es-ES"/>
        </w:rPr>
        <w:t>vés de normas como la NTC 4143 y la NTC 5610, exige que el espacio público sea accesible para todas las personas, independientemente de sus capacidades físicas.</w:t>
      </w:r>
      <w:r w:rsidRPr="00302B0F">
        <w:rPr>
          <w:rFonts w:ascii="Google Sans Text" w:eastAsia="Google Sans Text" w:hAnsi="Google Sans Text" w:cs="Google Sans Text"/>
          <w:color w:val="444746"/>
          <w:sz w:val="24"/>
          <w:szCs w:val="24"/>
          <w:vertAlign w:val="superscript"/>
          <w:lang w:val="es-ES"/>
        </w:rPr>
        <w:t>22</w:t>
      </w:r>
      <w:r w:rsidRPr="00302B0F">
        <w:rPr>
          <w:rFonts w:ascii="Google Sans Text" w:eastAsia="Google Sans Text" w:hAnsi="Google Sans Text" w:cs="Google Sans Text"/>
          <w:color w:val="1F1F1F"/>
          <w:lang w:val="es-ES"/>
        </w:rPr>
        <w:t xml:space="preserve"> Armenia integra estos lineamientos mediante el diseño de andenes continuos, rampas y señaliza</w:t>
      </w:r>
      <w:r w:rsidRPr="00302B0F">
        <w:rPr>
          <w:rFonts w:ascii="Google Sans Text" w:eastAsia="Google Sans Text" w:hAnsi="Google Sans Text" w:cs="Google Sans Text"/>
          <w:color w:val="1F1F1F"/>
          <w:lang w:val="es-ES"/>
        </w:rPr>
        <w:t xml:space="preserve">ción táctil, asegurando que los niños, adultos mayores y personas con discapacidad </w:t>
      </w:r>
      <w:r w:rsidRPr="00302B0F">
        <w:rPr>
          <w:rFonts w:ascii="Google Sans Text" w:eastAsia="Google Sans Text" w:hAnsi="Google Sans Text" w:cs="Google Sans Text"/>
          <w:color w:val="1F1F1F"/>
          <w:lang w:val="es-ES"/>
        </w:rPr>
        <w:lastRenderedPageBreak/>
        <w:t>puedan disfrutar del entorno urbano sin barreras.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El enfoque de género, por su parte, busca transformar las inequidades históricas en el uso de la ciudad.</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espacio públi</w:t>
      </w:r>
      <w:r w:rsidRPr="00302B0F">
        <w:rPr>
          <w:rFonts w:ascii="Google Sans Text" w:eastAsia="Google Sans Text" w:hAnsi="Google Sans Text" w:cs="Google Sans Text"/>
          <w:color w:val="1F1F1F"/>
          <w:lang w:val="es-ES"/>
        </w:rPr>
        <w:t>co debe ser diseñado para aumentar la percepción de seguridad de las mujeres y niñas, favoreciendo la apertura de fachadas y una iluminación LED de alta eficiencia que active la vigilancia natural en las calles y parques.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2"/>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Diagnóstico y componentes del esp</w:t>
      </w:r>
      <w:r w:rsidRPr="00302B0F">
        <w:rPr>
          <w:rFonts w:ascii="Google Sans" w:eastAsia="Google Sans" w:hAnsi="Google Sans" w:cs="Google Sans"/>
          <w:color w:val="1F1F1F"/>
          <w:lang w:val="es-ES"/>
        </w:rPr>
        <w:t>acio público urbano</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El diagnóstico estratégico contenido en el plan de desarrollo permitió identificar los problemas históricos de la ciudad en relación con su entorno físico. Se reconoce que, a pesar de los esfuerzos previos, Armenia aún presenta una frag</w:t>
      </w:r>
      <w:r w:rsidRPr="00302B0F">
        <w:rPr>
          <w:rFonts w:ascii="Google Sans Text" w:eastAsia="Google Sans Text" w:hAnsi="Google Sans Text" w:cs="Google Sans Text"/>
          <w:color w:val="1F1F1F"/>
          <w:lang w:val="es-ES"/>
        </w:rPr>
        <w:t>mentación en su sistema de espacio público y una carencia de mobiliario urbano adecuado en muchos sectores.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Espacio público efectivo y calidad ambiental</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calidad del ambiente en Armenia está ligada al manejo de sus residuos sólidos, la protección de rec</w:t>
      </w:r>
      <w:r w:rsidRPr="00302B0F">
        <w:rPr>
          <w:rFonts w:ascii="Google Sans Text" w:eastAsia="Google Sans Text" w:hAnsi="Google Sans Text" w:cs="Google Sans Text"/>
          <w:color w:val="1F1F1F"/>
          <w:lang w:val="es-ES"/>
        </w:rPr>
        <w:t>ursos hídricos y la creación de espacios verdes.</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municipio se enfrenta a retos como la gestión sostenible del Paisaje Cultural Cafetero y la mitigación de los impactos del cambio climático.</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diagnóstico revela que la ocupación irregular de zonas amb</w:t>
      </w:r>
      <w:r w:rsidRPr="00302B0F">
        <w:rPr>
          <w:rFonts w:ascii="Google Sans Text" w:eastAsia="Google Sans Text" w:hAnsi="Google Sans Text" w:cs="Google Sans Text"/>
          <w:color w:val="1F1F1F"/>
          <w:lang w:val="es-ES"/>
        </w:rPr>
        <w:t>ientalmente estratégicas incrementa la vulnerabilidad ante riesgos naturales, por lo que el plan prioriza el ordenamiento ambiental del territorio.</w:t>
      </w:r>
      <w:r w:rsidRPr="00302B0F">
        <w:rPr>
          <w:rFonts w:ascii="Google Sans Text" w:eastAsia="Google Sans Text" w:hAnsi="Google Sans Text" w:cs="Google Sans Text"/>
          <w:color w:val="444746"/>
          <w:sz w:val="24"/>
          <w:szCs w:val="24"/>
          <w:vertAlign w:val="superscript"/>
          <w:lang w:val="es-ES"/>
        </w:rPr>
        <w:t>11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Gestión del riesgo y resiliencia urbana</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Armenia es una ciudad marcada por su historia sísmica y su geograf</w:t>
      </w:r>
      <w:r w:rsidRPr="00302B0F">
        <w:rPr>
          <w:rFonts w:ascii="Google Sans Text" w:eastAsia="Google Sans Text" w:hAnsi="Google Sans Text" w:cs="Google Sans Text"/>
          <w:color w:val="1F1F1F"/>
          <w:lang w:val="es-ES"/>
        </w:rPr>
        <w:t>ía de ladera. La gestión del riesgo se entiende en el plan como un proceso social que debe integrarse en la planificación del espacio público.</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La Ley 1523 de 2012 orienta estas acciones, buscando que la infraestructura urbana sea capaz de resistir y recup</w:t>
      </w:r>
      <w:r w:rsidRPr="00302B0F">
        <w:rPr>
          <w:rFonts w:ascii="Google Sans Text" w:eastAsia="Google Sans Text" w:hAnsi="Google Sans Text" w:cs="Google Sans Text"/>
          <w:color w:val="1F1F1F"/>
          <w:lang w:val="es-ES"/>
        </w:rPr>
        <w:t>erarse de eventos adversos.</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PDM contempla obras de estabilización de taludes y la delimitación clara de zonas no urbanizables por amenaza natural, convirtiendo en muchos casos estas áreas en zonas de conservación y recreación pasiva.</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0B46E3">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lang w:val="es-ES"/>
        </w:rPr>
      </w:pPr>
    </w:p>
    <w:tbl>
      <w:tblPr>
        <w:tblStyle w:val="a0"/>
        <w:tblW w:w="936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40"/>
        <w:gridCol w:w="2340"/>
        <w:gridCol w:w="2340"/>
        <w:gridCol w:w="2340"/>
      </w:tblGrid>
      <w:tr w:rsidR="000B46E3">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before="120" w:after="120" w:line="275" w:lineRule="auto"/>
              <w:rPr>
                <w:rFonts w:ascii="Google Sans Text" w:eastAsia="Google Sans Text" w:hAnsi="Google Sans Text" w:cs="Google Sans Text"/>
                <w:b/>
                <w:bCs/>
                <w:color w:val="1F1F1F"/>
                <w:lang w:val="es-ES"/>
              </w:rPr>
            </w:pPr>
            <w:r w:rsidRPr="00302B0F">
              <w:rPr>
                <w:rFonts w:ascii="Google Sans Text" w:eastAsia="Google Sans Text" w:hAnsi="Google Sans Text" w:cs="Google Sans Text"/>
                <w:b/>
                <w:bCs/>
                <w:color w:val="1F1F1F"/>
                <w:lang w:val="es-ES"/>
              </w:rPr>
              <w:t>Indicador de Resultado (Contexto Urbano)</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b/>
                <w:bCs/>
                <w:color w:val="1F1F1F"/>
              </w:rPr>
            </w:pPr>
            <w:proofErr w:type="spellStart"/>
            <w:r>
              <w:rPr>
                <w:rFonts w:ascii="Google Sans Text" w:eastAsia="Google Sans Text" w:hAnsi="Google Sans Text" w:cs="Google Sans Text"/>
                <w:b/>
                <w:bCs/>
                <w:color w:val="1F1F1F"/>
              </w:rPr>
              <w:t>Unidad</w:t>
            </w:r>
            <w:proofErr w:type="spellEnd"/>
            <w:r>
              <w:rPr>
                <w:rFonts w:ascii="Google Sans Text" w:eastAsia="Google Sans Text" w:hAnsi="Google Sans Text" w:cs="Google Sans Text"/>
                <w:b/>
                <w:bCs/>
                <w:color w:val="1F1F1F"/>
              </w:rPr>
              <w:t xml:space="preserve"> de </w:t>
            </w:r>
            <w:proofErr w:type="spellStart"/>
            <w:r>
              <w:rPr>
                <w:rFonts w:ascii="Google Sans Text" w:eastAsia="Google Sans Text" w:hAnsi="Google Sans Text" w:cs="Google Sans Text"/>
                <w:b/>
                <w:bCs/>
                <w:color w:val="1F1F1F"/>
              </w:rPr>
              <w:t>Medida</w:t>
            </w:r>
            <w:proofErr w:type="spellEnd"/>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b/>
                <w:bCs/>
                <w:color w:val="1F1F1F"/>
              </w:rPr>
            </w:pPr>
            <w:proofErr w:type="spellStart"/>
            <w:r>
              <w:rPr>
                <w:rFonts w:ascii="Google Sans Text" w:eastAsia="Google Sans Text" w:hAnsi="Google Sans Text" w:cs="Google Sans Text"/>
                <w:b/>
                <w:bCs/>
                <w:color w:val="1F1F1F"/>
              </w:rPr>
              <w:t>Línea</w:t>
            </w:r>
            <w:proofErr w:type="spellEnd"/>
            <w:r>
              <w:rPr>
                <w:rFonts w:ascii="Google Sans Text" w:eastAsia="Google Sans Text" w:hAnsi="Google Sans Text" w:cs="Google Sans Text"/>
                <w:b/>
                <w:bCs/>
                <w:color w:val="1F1F1F"/>
              </w:rPr>
              <w:t xml:space="preserve"> Base</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b/>
                <w:bCs/>
                <w:color w:val="1F1F1F"/>
              </w:rPr>
            </w:pPr>
            <w:r>
              <w:rPr>
                <w:rFonts w:ascii="Google Sans Text" w:eastAsia="Google Sans Text" w:hAnsi="Google Sans Text" w:cs="Google Sans Text"/>
                <w:b/>
                <w:bCs/>
                <w:color w:val="1F1F1F"/>
              </w:rPr>
              <w:t xml:space="preserve">Meta </w:t>
            </w:r>
            <w:proofErr w:type="spellStart"/>
            <w:r>
              <w:rPr>
                <w:rFonts w:ascii="Google Sans Text" w:eastAsia="Google Sans Text" w:hAnsi="Google Sans Text" w:cs="Google Sans Text"/>
                <w:b/>
                <w:bCs/>
                <w:color w:val="1F1F1F"/>
              </w:rPr>
              <w:t>Cuatrienio</w:t>
            </w:r>
            <w:proofErr w:type="spellEnd"/>
          </w:p>
        </w:tc>
      </w:tr>
      <w:tr w:rsidR="000B46E3">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lastRenderedPageBreak/>
              <w:t>Índice</w:t>
            </w:r>
            <w:proofErr w:type="spellEnd"/>
            <w:r>
              <w:rPr>
                <w:rFonts w:ascii="Google Sans Text" w:eastAsia="Google Sans Text" w:hAnsi="Google Sans Text" w:cs="Google Sans Text"/>
                <w:color w:val="1F1F1F"/>
              </w:rPr>
              <w:t xml:space="preserve"> de </w:t>
            </w:r>
            <w:proofErr w:type="spellStart"/>
            <w:r>
              <w:rPr>
                <w:rFonts w:ascii="Google Sans Text" w:eastAsia="Google Sans Text" w:hAnsi="Google Sans Text" w:cs="Google Sans Text"/>
                <w:color w:val="1F1F1F"/>
              </w:rPr>
              <w:t>Gobierno</w:t>
            </w:r>
            <w:proofErr w:type="spellEnd"/>
            <w:r>
              <w:rPr>
                <w:rFonts w:ascii="Google Sans Text" w:eastAsia="Google Sans Text" w:hAnsi="Google Sans Text" w:cs="Google Sans Text"/>
                <w:color w:val="1F1F1F"/>
              </w:rPr>
              <w:t xml:space="preserve"> Digital</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Puntaje</w:t>
            </w:r>
            <w:proofErr w:type="spellEnd"/>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66,9</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rPr>
            </w:pPr>
            <w:r>
              <w:rPr>
                <w:rFonts w:ascii="Google Sans Text" w:eastAsia="Google Sans Text" w:hAnsi="Google Sans Text" w:cs="Google Sans Text"/>
                <w:color w:val="1F1F1F"/>
              </w:rPr>
              <w:t xml:space="preserve">75,9 </w:t>
            </w:r>
            <w:r>
              <w:rPr>
                <w:rFonts w:ascii="Google Sans Text" w:eastAsia="Google Sans Text" w:hAnsi="Google Sans Text" w:cs="Google Sans Text"/>
                <w:color w:val="444746"/>
                <w:sz w:val="24"/>
                <w:szCs w:val="24"/>
                <w:vertAlign w:val="superscript"/>
              </w:rPr>
              <w:t>1</w:t>
            </w:r>
          </w:p>
        </w:tc>
      </w:tr>
      <w:tr w:rsidR="000B46E3">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lang w:val="es-ES"/>
              </w:rPr>
            </w:pPr>
            <w:r w:rsidRPr="00302B0F">
              <w:rPr>
                <w:rFonts w:ascii="Google Sans Text" w:eastAsia="Google Sans Text" w:hAnsi="Google Sans Text" w:cs="Google Sans Text"/>
                <w:color w:val="1F1F1F"/>
                <w:lang w:val="es-ES"/>
              </w:rPr>
              <w:t>Recaudo efectivo por Impuesto Predial</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 xml:space="preserve">$/1.000 </w:t>
            </w:r>
            <w:proofErr w:type="spellStart"/>
            <w:r>
              <w:rPr>
                <w:rFonts w:ascii="Google Sans Text" w:eastAsia="Google Sans Text" w:hAnsi="Google Sans Text" w:cs="Google Sans Text"/>
                <w:color w:val="1F1F1F"/>
              </w:rPr>
              <w:t>avalúo</w:t>
            </w:r>
            <w:proofErr w:type="spellEnd"/>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5,57</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rPr>
            </w:pPr>
            <w:r>
              <w:rPr>
                <w:rFonts w:ascii="Google Sans Text" w:eastAsia="Google Sans Text" w:hAnsi="Google Sans Text" w:cs="Google Sans Text"/>
                <w:color w:val="1F1F1F"/>
              </w:rPr>
              <w:t xml:space="preserve">6,50 </w:t>
            </w:r>
            <w:r>
              <w:rPr>
                <w:rFonts w:ascii="Google Sans Text" w:eastAsia="Google Sans Text" w:hAnsi="Google Sans Text" w:cs="Google Sans Text"/>
                <w:color w:val="444746"/>
                <w:sz w:val="24"/>
                <w:szCs w:val="24"/>
                <w:vertAlign w:val="superscript"/>
              </w:rPr>
              <w:t>1</w:t>
            </w:r>
          </w:p>
        </w:tc>
      </w:tr>
      <w:tr w:rsidR="000B46E3">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Cobertura</w:t>
            </w:r>
            <w:proofErr w:type="spellEnd"/>
            <w:r>
              <w:rPr>
                <w:rFonts w:ascii="Google Sans Text" w:eastAsia="Google Sans Text" w:hAnsi="Google Sans Text" w:cs="Google Sans Text"/>
                <w:color w:val="1F1F1F"/>
              </w:rPr>
              <w:t xml:space="preserve"> de </w:t>
            </w:r>
            <w:proofErr w:type="spellStart"/>
            <w:r>
              <w:rPr>
                <w:rFonts w:ascii="Google Sans Text" w:eastAsia="Google Sans Text" w:hAnsi="Google Sans Text" w:cs="Google Sans Text"/>
                <w:color w:val="1F1F1F"/>
              </w:rPr>
              <w:t>acueducto</w:t>
            </w:r>
            <w:proofErr w:type="spellEnd"/>
            <w:r>
              <w:rPr>
                <w:rFonts w:ascii="Google Sans Text" w:eastAsia="Google Sans Text" w:hAnsi="Google Sans Text" w:cs="Google Sans Text"/>
                <w:color w:val="1F1F1F"/>
              </w:rPr>
              <w:t xml:space="preserve"> (</w:t>
            </w:r>
            <w:proofErr w:type="spellStart"/>
            <w:r>
              <w:rPr>
                <w:rFonts w:ascii="Google Sans Text" w:eastAsia="Google Sans Text" w:hAnsi="Google Sans Text" w:cs="Google Sans Text"/>
                <w:color w:val="1F1F1F"/>
              </w:rPr>
              <w:t>urbano</w:t>
            </w:r>
            <w:proofErr w:type="spellEnd"/>
            <w:r>
              <w:rPr>
                <w:rFonts w:ascii="Google Sans Text" w:eastAsia="Google Sans Text" w:hAnsi="Google Sans Text" w:cs="Google Sans Text"/>
                <w:color w:val="1F1F1F"/>
              </w:rPr>
              <w:t>)</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Porcentaje</w:t>
            </w:r>
            <w:proofErr w:type="spellEnd"/>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98,88%</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rPr>
            </w:pPr>
            <w:r>
              <w:rPr>
                <w:rFonts w:ascii="Google Sans Text" w:eastAsia="Google Sans Text" w:hAnsi="Google Sans Text" w:cs="Google Sans Text"/>
                <w:color w:val="1F1F1F"/>
              </w:rPr>
              <w:t xml:space="preserve">100% </w:t>
            </w:r>
            <w:r>
              <w:rPr>
                <w:rFonts w:ascii="Google Sans Text" w:eastAsia="Google Sans Text" w:hAnsi="Google Sans Text" w:cs="Google Sans Text"/>
                <w:color w:val="444746"/>
                <w:sz w:val="24"/>
                <w:szCs w:val="24"/>
                <w:vertAlign w:val="superscript"/>
              </w:rPr>
              <w:t>1</w:t>
            </w:r>
          </w:p>
        </w:tc>
      </w:tr>
      <w:tr w:rsidR="000B46E3">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Déficit</w:t>
            </w:r>
            <w:proofErr w:type="spellEnd"/>
            <w:r>
              <w:rPr>
                <w:rFonts w:ascii="Google Sans Text" w:eastAsia="Google Sans Text" w:hAnsi="Google Sans Text" w:cs="Google Sans Text"/>
                <w:color w:val="1F1F1F"/>
              </w:rPr>
              <w:t xml:space="preserve"> </w:t>
            </w:r>
            <w:proofErr w:type="spellStart"/>
            <w:r>
              <w:rPr>
                <w:rFonts w:ascii="Google Sans Text" w:eastAsia="Google Sans Text" w:hAnsi="Google Sans Text" w:cs="Google Sans Text"/>
                <w:color w:val="1F1F1F"/>
              </w:rPr>
              <w:t>cuantitativo</w:t>
            </w:r>
            <w:proofErr w:type="spellEnd"/>
            <w:r>
              <w:rPr>
                <w:rFonts w:ascii="Google Sans Text" w:eastAsia="Google Sans Text" w:hAnsi="Google Sans Text" w:cs="Google Sans Text"/>
                <w:color w:val="1F1F1F"/>
              </w:rPr>
              <w:t xml:space="preserve"> de </w:t>
            </w:r>
            <w:proofErr w:type="spellStart"/>
            <w:r>
              <w:rPr>
                <w:rFonts w:ascii="Google Sans Text" w:eastAsia="Google Sans Text" w:hAnsi="Google Sans Text" w:cs="Google Sans Text"/>
                <w:color w:val="1F1F1F"/>
              </w:rPr>
              <w:t>vivienda</w:t>
            </w:r>
            <w:proofErr w:type="spellEnd"/>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Porcentaje</w:t>
            </w:r>
            <w:proofErr w:type="spellEnd"/>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3,82%</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rPr>
            </w:pPr>
            <w:r>
              <w:rPr>
                <w:rFonts w:ascii="Google Sans Text" w:eastAsia="Google Sans Text" w:hAnsi="Google Sans Text" w:cs="Google Sans Text"/>
                <w:color w:val="1F1F1F"/>
              </w:rPr>
              <w:t xml:space="preserve">3,50% </w:t>
            </w:r>
            <w:r>
              <w:rPr>
                <w:rFonts w:ascii="Google Sans Text" w:eastAsia="Google Sans Text" w:hAnsi="Google Sans Text" w:cs="Google Sans Text"/>
                <w:color w:val="444746"/>
                <w:sz w:val="24"/>
                <w:szCs w:val="24"/>
                <w:vertAlign w:val="superscript"/>
              </w:rPr>
              <w:t>1</w:t>
            </w:r>
          </w:p>
        </w:tc>
      </w:tr>
      <w:tr w:rsidR="000B46E3">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Déficit</w:t>
            </w:r>
            <w:proofErr w:type="spellEnd"/>
            <w:r>
              <w:rPr>
                <w:rFonts w:ascii="Google Sans Text" w:eastAsia="Google Sans Text" w:hAnsi="Google Sans Text" w:cs="Google Sans Text"/>
                <w:color w:val="1F1F1F"/>
              </w:rPr>
              <w:t xml:space="preserve"> </w:t>
            </w:r>
            <w:proofErr w:type="spellStart"/>
            <w:r>
              <w:rPr>
                <w:rFonts w:ascii="Google Sans Text" w:eastAsia="Google Sans Text" w:hAnsi="Google Sans Text" w:cs="Google Sans Text"/>
                <w:color w:val="1F1F1F"/>
              </w:rPr>
              <w:t>cualitativo</w:t>
            </w:r>
            <w:proofErr w:type="spellEnd"/>
            <w:r>
              <w:rPr>
                <w:rFonts w:ascii="Google Sans Text" w:eastAsia="Google Sans Text" w:hAnsi="Google Sans Text" w:cs="Google Sans Text"/>
                <w:color w:val="1F1F1F"/>
              </w:rPr>
              <w:t xml:space="preserve"> de </w:t>
            </w:r>
            <w:proofErr w:type="spellStart"/>
            <w:r>
              <w:rPr>
                <w:rFonts w:ascii="Google Sans Text" w:eastAsia="Google Sans Text" w:hAnsi="Google Sans Text" w:cs="Google Sans Text"/>
                <w:color w:val="1F1F1F"/>
              </w:rPr>
              <w:t>vivienda</w:t>
            </w:r>
            <w:proofErr w:type="spellEnd"/>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Porcentaje</w:t>
            </w:r>
            <w:proofErr w:type="spellEnd"/>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9,81%</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rPr>
            </w:pPr>
            <w:r>
              <w:rPr>
                <w:rFonts w:ascii="Google Sans Text" w:eastAsia="Google Sans Text" w:hAnsi="Google Sans Text" w:cs="Google Sans Text"/>
                <w:color w:val="1F1F1F"/>
              </w:rPr>
              <w:t xml:space="preserve">9,50% </w:t>
            </w:r>
            <w:r>
              <w:rPr>
                <w:rFonts w:ascii="Google Sans Text" w:eastAsia="Google Sans Text" w:hAnsi="Google Sans Text" w:cs="Google Sans Text"/>
                <w:color w:val="444746"/>
                <w:sz w:val="24"/>
                <w:szCs w:val="24"/>
                <w:vertAlign w:val="superscript"/>
              </w:rPr>
              <w:t>1</w:t>
            </w:r>
          </w:p>
        </w:tc>
      </w:tr>
    </w:tbl>
    <w:p w:rsidR="000B46E3" w:rsidRPr="00302B0F" w:rsidRDefault="007A2CC0">
      <w:pPr>
        <w:pStyle w:val="Ttulo2"/>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Metas e indicadores de producto para el sector Vivienda, Ciudad y Territorio</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En la sección 6.2.3 del Plan de Desarrollo Municipal, se detallan las metas específicas que impactan directamente la fisonomía de la ciudad y su sistema de espacio público.</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Estas metas están diseñadas para ser medibles a través del Sistema de Planeación T</w:t>
      </w:r>
      <w:r w:rsidRPr="00302B0F">
        <w:rPr>
          <w:rFonts w:ascii="Google Sans Text" w:eastAsia="Google Sans Text" w:hAnsi="Google Sans Text" w:cs="Google Sans Text"/>
          <w:color w:val="1F1F1F"/>
          <w:lang w:val="es-ES"/>
        </w:rPr>
        <w:t>erritorial (</w:t>
      </w:r>
      <w:proofErr w:type="spellStart"/>
      <w:r w:rsidRPr="00302B0F">
        <w:rPr>
          <w:rFonts w:ascii="Google Sans Text" w:eastAsia="Google Sans Text" w:hAnsi="Google Sans Text" w:cs="Google Sans Text"/>
          <w:color w:val="1F1F1F"/>
          <w:lang w:val="es-ES"/>
        </w:rPr>
        <w:t>SisPT</w:t>
      </w:r>
      <w:proofErr w:type="spellEnd"/>
      <w:r w:rsidRPr="00302B0F">
        <w:rPr>
          <w:rFonts w:ascii="Google Sans Text" w:eastAsia="Google Sans Text" w:hAnsi="Google Sans Text" w:cs="Google Sans Text"/>
          <w:color w:val="1F1F1F"/>
          <w:lang w:val="es-ES"/>
        </w:rPr>
        <w:t>) del Departamento Nacional de Planeación.</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Incremento y mejoramiento del área pública</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meta más ambiciosa en términos físicos es el mantenimiento y mejoramiento de 40,000 metros cuadrados de espacio público.</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Esta cifra incluye la repar</w:t>
      </w:r>
      <w:r w:rsidRPr="00302B0F">
        <w:rPr>
          <w:rFonts w:ascii="Google Sans Text" w:eastAsia="Google Sans Text" w:hAnsi="Google Sans Text" w:cs="Google Sans Text"/>
          <w:color w:val="1F1F1F"/>
          <w:lang w:val="es-ES"/>
        </w:rPr>
        <w:t>ación de plazas emblemáticas, la adecuación de corredores peatonales y el mejoramiento de áreas de estancia ciudadana. Además, se proyecta la generación de 8,000 metros cuadrados de nuevo espacio público efectivo, buscando reducir el déficit cuantitativo p</w:t>
      </w:r>
      <w:r w:rsidRPr="00302B0F">
        <w:rPr>
          <w:rFonts w:ascii="Google Sans Text" w:eastAsia="Google Sans Text" w:hAnsi="Google Sans Text" w:cs="Google Sans Text"/>
          <w:color w:val="1F1F1F"/>
          <w:lang w:val="es-ES"/>
        </w:rPr>
        <w:t>or habitante.</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Recuperación de parques y zonas verdes</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El plan establece la rehabilitación integral de 25 parques urbanos y barriales.</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Estas intervenciones no se limitan a la limpieza, sino que contemplan la reparación de mobiliario urbano (bancas, juegos </w:t>
      </w:r>
      <w:r w:rsidRPr="00302B0F">
        <w:rPr>
          <w:rFonts w:ascii="Google Sans Text" w:eastAsia="Google Sans Text" w:hAnsi="Google Sans Text" w:cs="Google Sans Text"/>
          <w:color w:val="1F1F1F"/>
          <w:lang w:val="es-ES"/>
        </w:rPr>
        <w:t xml:space="preserve">infantiles), la instalación de sistemas de iluminación moderna y la </w:t>
      </w:r>
      <w:r w:rsidRPr="00302B0F">
        <w:rPr>
          <w:rFonts w:ascii="Google Sans Text" w:eastAsia="Google Sans Text" w:hAnsi="Google Sans Text" w:cs="Google Sans Text"/>
          <w:color w:val="1F1F1F"/>
          <w:lang w:val="es-ES"/>
        </w:rPr>
        <w:lastRenderedPageBreak/>
        <w:t>mejora de los senderos internos. Asimismo, se dotarán de kits de mobiliario a 15 zonas verdes que actualmente se encuentran subutilizadas por falta de infraestructura básica.</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Regulación y</w:t>
      </w:r>
      <w:r w:rsidRPr="00302B0F">
        <w:rPr>
          <w:rFonts w:ascii="Google Sans" w:eastAsia="Google Sans" w:hAnsi="Google Sans" w:cs="Google Sans"/>
          <w:color w:val="1F1F1F"/>
          <w:lang w:val="es-ES"/>
        </w:rPr>
        <w:t xml:space="preserve"> aprovechamiento económico</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En concordancia con los lineamientos del Decreto 1077 de 2015, el municipio se propone implementar una política de aprovechamiento económico del espacio público.</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objetivo es organizar las actividades comerciales que ocurren e</w:t>
      </w:r>
      <w:r w:rsidRPr="00302B0F">
        <w:rPr>
          <w:rFonts w:ascii="Google Sans Text" w:eastAsia="Google Sans Text" w:hAnsi="Google Sans Text" w:cs="Google Sans Text"/>
          <w:color w:val="1F1F1F"/>
          <w:lang w:val="es-ES"/>
        </w:rPr>
        <w:t>n las plazas y parques, permitiendo una sostenibilidad financiera para el mantenimiento de estas áreas sin comprometer su naturaleza de uso público gratuito para el ciudadano común.</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0B46E3">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lang w:val="es-ES"/>
        </w:rPr>
      </w:pPr>
    </w:p>
    <w:tbl>
      <w:tblPr>
        <w:tblStyle w:val="a1"/>
        <w:tblW w:w="936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120"/>
        <w:gridCol w:w="3120"/>
        <w:gridCol w:w="3120"/>
      </w:tblGrid>
      <w:tr w:rsidR="000B46E3">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b/>
                <w:bCs/>
                <w:color w:val="1F1F1F"/>
              </w:rPr>
            </w:pPr>
            <w:proofErr w:type="spellStart"/>
            <w:r>
              <w:rPr>
                <w:rFonts w:ascii="Google Sans Text" w:eastAsia="Google Sans Text" w:hAnsi="Google Sans Text" w:cs="Google Sans Text"/>
                <w:b/>
                <w:bCs/>
                <w:color w:val="1F1F1F"/>
              </w:rPr>
              <w:t>Indicador</w:t>
            </w:r>
            <w:proofErr w:type="spellEnd"/>
            <w:r>
              <w:rPr>
                <w:rFonts w:ascii="Google Sans Text" w:eastAsia="Google Sans Text" w:hAnsi="Google Sans Text" w:cs="Google Sans Text"/>
                <w:b/>
                <w:bCs/>
                <w:color w:val="1F1F1F"/>
              </w:rPr>
              <w:t xml:space="preserve"> de </w:t>
            </w:r>
            <w:proofErr w:type="spellStart"/>
            <w:r>
              <w:rPr>
                <w:rFonts w:ascii="Google Sans Text" w:eastAsia="Google Sans Text" w:hAnsi="Google Sans Text" w:cs="Google Sans Text"/>
                <w:b/>
                <w:bCs/>
                <w:color w:val="1F1F1F"/>
              </w:rPr>
              <w:t>Producto</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b/>
                <w:bCs/>
                <w:color w:val="1F1F1F"/>
              </w:rPr>
            </w:pPr>
            <w:proofErr w:type="spellStart"/>
            <w:r>
              <w:rPr>
                <w:rFonts w:ascii="Google Sans Text" w:eastAsia="Google Sans Text" w:hAnsi="Google Sans Text" w:cs="Google Sans Text"/>
                <w:b/>
                <w:bCs/>
                <w:color w:val="1F1F1F"/>
              </w:rPr>
              <w:t>Unidad</w:t>
            </w:r>
            <w:proofErr w:type="spellEnd"/>
            <w:r>
              <w:rPr>
                <w:rFonts w:ascii="Google Sans Text" w:eastAsia="Google Sans Text" w:hAnsi="Google Sans Text" w:cs="Google Sans Text"/>
                <w:b/>
                <w:bCs/>
                <w:color w:val="1F1F1F"/>
              </w:rPr>
              <w:t xml:space="preserve"> de </w:t>
            </w:r>
            <w:proofErr w:type="spellStart"/>
            <w:r>
              <w:rPr>
                <w:rFonts w:ascii="Google Sans Text" w:eastAsia="Google Sans Text" w:hAnsi="Google Sans Text" w:cs="Google Sans Text"/>
                <w:b/>
                <w:bCs/>
                <w:color w:val="1F1F1F"/>
              </w:rPr>
              <w:t>Medida</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b/>
                <w:bCs/>
                <w:color w:val="1F1F1F"/>
              </w:rPr>
            </w:pPr>
            <w:r>
              <w:rPr>
                <w:rFonts w:ascii="Google Sans Text" w:eastAsia="Google Sans Text" w:hAnsi="Google Sans Text" w:cs="Google Sans Text"/>
                <w:b/>
                <w:bCs/>
                <w:color w:val="1F1F1F"/>
              </w:rPr>
              <w:t xml:space="preserve">Meta </w:t>
            </w:r>
            <w:proofErr w:type="spellStart"/>
            <w:r>
              <w:rPr>
                <w:rFonts w:ascii="Google Sans Text" w:eastAsia="Google Sans Text" w:hAnsi="Google Sans Text" w:cs="Google Sans Text"/>
                <w:b/>
                <w:bCs/>
                <w:color w:val="1F1F1F"/>
              </w:rPr>
              <w:t>Cuatrienio</w:t>
            </w:r>
            <w:proofErr w:type="spellEnd"/>
          </w:p>
        </w:tc>
      </w:tr>
      <w:tr w:rsidR="000B46E3">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Mantenimiento</w:t>
            </w:r>
            <w:proofErr w:type="spellEnd"/>
            <w:r>
              <w:rPr>
                <w:rFonts w:ascii="Google Sans Text" w:eastAsia="Google Sans Text" w:hAnsi="Google Sans Text" w:cs="Google Sans Text"/>
                <w:color w:val="1F1F1F"/>
              </w:rPr>
              <w:t xml:space="preserve"> de </w:t>
            </w:r>
            <w:proofErr w:type="spellStart"/>
            <w:r>
              <w:rPr>
                <w:rFonts w:ascii="Google Sans Text" w:eastAsia="Google Sans Text" w:hAnsi="Google Sans Text" w:cs="Google Sans Text"/>
                <w:color w:val="1F1F1F"/>
              </w:rPr>
              <w:t>espacio</w:t>
            </w:r>
            <w:proofErr w:type="spellEnd"/>
            <w:r>
              <w:rPr>
                <w:rFonts w:ascii="Google Sans Text" w:eastAsia="Google Sans Text" w:hAnsi="Google Sans Text" w:cs="Google Sans Text"/>
                <w:color w:val="1F1F1F"/>
              </w:rPr>
              <w:t xml:space="preserve"> </w:t>
            </w:r>
            <w:proofErr w:type="spellStart"/>
            <w:r>
              <w:rPr>
                <w:rFonts w:ascii="Google Sans Text" w:eastAsia="Google Sans Text" w:hAnsi="Google Sans Text" w:cs="Google Sans Text"/>
                <w:color w:val="1F1F1F"/>
              </w:rPr>
              <w:t>público</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 xml:space="preserve">Metros </w:t>
            </w:r>
            <w:proofErr w:type="spellStart"/>
            <w:r>
              <w:rPr>
                <w:rFonts w:ascii="Google Sans Text" w:eastAsia="Google Sans Text" w:hAnsi="Google Sans Text" w:cs="Google Sans Text"/>
                <w:color w:val="1F1F1F"/>
              </w:rPr>
              <w:t>cuadrados</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rPr>
            </w:pPr>
            <w:r>
              <w:rPr>
                <w:rFonts w:ascii="Google Sans Text" w:eastAsia="Google Sans Text" w:hAnsi="Google Sans Text" w:cs="Google Sans Text"/>
                <w:color w:val="1F1F1F"/>
              </w:rPr>
              <w:t xml:space="preserve">40,000 </w:t>
            </w:r>
            <w:r>
              <w:rPr>
                <w:rFonts w:ascii="Google Sans Text" w:eastAsia="Google Sans Text" w:hAnsi="Google Sans Text" w:cs="Google Sans Text"/>
                <w:color w:val="444746"/>
                <w:sz w:val="24"/>
                <w:szCs w:val="24"/>
                <w:vertAlign w:val="superscript"/>
              </w:rPr>
              <w:t>1</w:t>
            </w:r>
          </w:p>
        </w:tc>
      </w:tr>
      <w:tr w:rsidR="000B46E3">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 xml:space="preserve">Nuevo </w:t>
            </w:r>
            <w:proofErr w:type="spellStart"/>
            <w:r>
              <w:rPr>
                <w:rFonts w:ascii="Google Sans Text" w:eastAsia="Google Sans Text" w:hAnsi="Google Sans Text" w:cs="Google Sans Text"/>
                <w:color w:val="1F1F1F"/>
              </w:rPr>
              <w:t>espacio</w:t>
            </w:r>
            <w:proofErr w:type="spellEnd"/>
            <w:r>
              <w:rPr>
                <w:rFonts w:ascii="Google Sans Text" w:eastAsia="Google Sans Text" w:hAnsi="Google Sans Text" w:cs="Google Sans Text"/>
                <w:color w:val="1F1F1F"/>
              </w:rPr>
              <w:t xml:space="preserve"> </w:t>
            </w:r>
            <w:proofErr w:type="spellStart"/>
            <w:r>
              <w:rPr>
                <w:rFonts w:ascii="Google Sans Text" w:eastAsia="Google Sans Text" w:hAnsi="Google Sans Text" w:cs="Google Sans Text"/>
                <w:color w:val="1F1F1F"/>
              </w:rPr>
              <w:t>público</w:t>
            </w:r>
            <w:proofErr w:type="spellEnd"/>
            <w:r>
              <w:rPr>
                <w:rFonts w:ascii="Google Sans Text" w:eastAsia="Google Sans Text" w:hAnsi="Google Sans Text" w:cs="Google Sans Text"/>
                <w:color w:val="1F1F1F"/>
              </w:rPr>
              <w:t xml:space="preserve"> </w:t>
            </w:r>
            <w:proofErr w:type="spellStart"/>
            <w:r>
              <w:rPr>
                <w:rFonts w:ascii="Google Sans Text" w:eastAsia="Google Sans Text" w:hAnsi="Google Sans Text" w:cs="Google Sans Text"/>
                <w:color w:val="1F1F1F"/>
              </w:rPr>
              <w:t>generado</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r>
              <w:rPr>
                <w:rFonts w:ascii="Google Sans Text" w:eastAsia="Google Sans Text" w:hAnsi="Google Sans Text" w:cs="Google Sans Text"/>
                <w:color w:val="1F1F1F"/>
              </w:rPr>
              <w:t xml:space="preserve">Metros </w:t>
            </w:r>
            <w:proofErr w:type="spellStart"/>
            <w:r>
              <w:rPr>
                <w:rFonts w:ascii="Google Sans Text" w:eastAsia="Google Sans Text" w:hAnsi="Google Sans Text" w:cs="Google Sans Text"/>
                <w:color w:val="1F1F1F"/>
              </w:rPr>
              <w:t>cuadrados</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rPr>
            </w:pPr>
            <w:r>
              <w:rPr>
                <w:rFonts w:ascii="Google Sans Text" w:eastAsia="Google Sans Text" w:hAnsi="Google Sans Text" w:cs="Google Sans Text"/>
                <w:color w:val="1F1F1F"/>
              </w:rPr>
              <w:t xml:space="preserve">8,000 </w:t>
            </w:r>
            <w:r>
              <w:rPr>
                <w:rFonts w:ascii="Google Sans Text" w:eastAsia="Google Sans Text" w:hAnsi="Google Sans Text" w:cs="Google Sans Text"/>
                <w:color w:val="444746"/>
                <w:sz w:val="24"/>
                <w:szCs w:val="24"/>
                <w:vertAlign w:val="superscript"/>
              </w:rPr>
              <w:t>1</w:t>
            </w:r>
          </w:p>
        </w:tc>
      </w:tr>
      <w:tr w:rsidR="000B46E3">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Parques</w:t>
            </w:r>
            <w:proofErr w:type="spellEnd"/>
            <w:r>
              <w:rPr>
                <w:rFonts w:ascii="Google Sans Text" w:eastAsia="Google Sans Text" w:hAnsi="Google Sans Text" w:cs="Google Sans Text"/>
                <w:color w:val="1F1F1F"/>
              </w:rPr>
              <w:t xml:space="preserve"> </w:t>
            </w:r>
            <w:proofErr w:type="spellStart"/>
            <w:r>
              <w:rPr>
                <w:rFonts w:ascii="Google Sans Text" w:eastAsia="Google Sans Text" w:hAnsi="Google Sans Text" w:cs="Google Sans Text"/>
                <w:color w:val="1F1F1F"/>
              </w:rPr>
              <w:t>rehabilitados</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Número</w:t>
            </w:r>
            <w:proofErr w:type="spellEnd"/>
            <w:r>
              <w:rPr>
                <w:rFonts w:ascii="Google Sans Text" w:eastAsia="Google Sans Text" w:hAnsi="Google Sans Text" w:cs="Google Sans Text"/>
                <w:color w:val="1F1F1F"/>
              </w:rPr>
              <w:t xml:space="preserve"> de </w:t>
            </w:r>
            <w:proofErr w:type="spellStart"/>
            <w:r>
              <w:rPr>
                <w:rFonts w:ascii="Google Sans Text" w:eastAsia="Google Sans Text" w:hAnsi="Google Sans Text" w:cs="Google Sans Text"/>
                <w:color w:val="1F1F1F"/>
              </w:rPr>
              <w:t>parques</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rPr>
            </w:pPr>
            <w:r>
              <w:rPr>
                <w:rFonts w:ascii="Google Sans Text" w:eastAsia="Google Sans Text" w:hAnsi="Google Sans Text" w:cs="Google Sans Text"/>
                <w:color w:val="1F1F1F"/>
              </w:rPr>
              <w:t xml:space="preserve">25 </w:t>
            </w:r>
            <w:r>
              <w:rPr>
                <w:rFonts w:ascii="Google Sans Text" w:eastAsia="Google Sans Text" w:hAnsi="Google Sans Text" w:cs="Google Sans Text"/>
                <w:color w:val="444746"/>
                <w:sz w:val="24"/>
                <w:szCs w:val="24"/>
                <w:vertAlign w:val="superscript"/>
              </w:rPr>
              <w:t>1</w:t>
            </w:r>
          </w:p>
        </w:tc>
      </w:tr>
      <w:tr w:rsidR="000B46E3">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lang w:val="es-ES"/>
              </w:rPr>
            </w:pPr>
            <w:r w:rsidRPr="00302B0F">
              <w:rPr>
                <w:rFonts w:ascii="Google Sans Text" w:eastAsia="Google Sans Text" w:hAnsi="Google Sans Text" w:cs="Google Sans Text"/>
                <w:color w:val="1F1F1F"/>
                <w:lang w:val="es-ES"/>
              </w:rPr>
              <w:t>Zonas verdes dotadas con mobiliario</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Número</w:t>
            </w:r>
            <w:proofErr w:type="spellEnd"/>
            <w:r>
              <w:rPr>
                <w:rFonts w:ascii="Google Sans Text" w:eastAsia="Google Sans Text" w:hAnsi="Google Sans Text" w:cs="Google Sans Text"/>
                <w:color w:val="1F1F1F"/>
              </w:rPr>
              <w:t xml:space="preserve"> de zonas</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rPr>
            </w:pPr>
            <w:r>
              <w:rPr>
                <w:rFonts w:ascii="Google Sans Text" w:eastAsia="Google Sans Text" w:hAnsi="Google Sans Text" w:cs="Google Sans Text"/>
                <w:color w:val="1F1F1F"/>
              </w:rPr>
              <w:t xml:space="preserve">15 </w:t>
            </w:r>
            <w:r>
              <w:rPr>
                <w:rFonts w:ascii="Google Sans Text" w:eastAsia="Google Sans Text" w:hAnsi="Google Sans Text" w:cs="Google Sans Text"/>
                <w:color w:val="444746"/>
                <w:sz w:val="24"/>
                <w:szCs w:val="24"/>
                <w:vertAlign w:val="superscript"/>
              </w:rPr>
              <w:t>1</w:t>
            </w:r>
          </w:p>
        </w:tc>
      </w:tr>
      <w:tr w:rsidR="000B46E3">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Política</w:t>
            </w:r>
            <w:proofErr w:type="spellEnd"/>
            <w:r>
              <w:rPr>
                <w:rFonts w:ascii="Google Sans Text" w:eastAsia="Google Sans Text" w:hAnsi="Google Sans Text" w:cs="Google Sans Text"/>
                <w:color w:val="1F1F1F"/>
              </w:rPr>
              <w:t xml:space="preserve"> de </w:t>
            </w:r>
            <w:proofErr w:type="spellStart"/>
            <w:r>
              <w:rPr>
                <w:rFonts w:ascii="Google Sans Text" w:eastAsia="Google Sans Text" w:hAnsi="Google Sans Text" w:cs="Google Sans Text"/>
                <w:color w:val="1F1F1F"/>
              </w:rPr>
              <w:t>aprovechamiento</w:t>
            </w:r>
            <w:proofErr w:type="spellEnd"/>
            <w:r>
              <w:rPr>
                <w:rFonts w:ascii="Google Sans Text" w:eastAsia="Google Sans Text" w:hAnsi="Google Sans Text" w:cs="Google Sans Text"/>
                <w:color w:val="1F1F1F"/>
              </w:rPr>
              <w:t xml:space="preserve"> </w:t>
            </w:r>
            <w:proofErr w:type="spellStart"/>
            <w:r>
              <w:rPr>
                <w:rFonts w:ascii="Google Sans Text" w:eastAsia="Google Sans Text" w:hAnsi="Google Sans Text" w:cs="Google Sans Text"/>
                <w:color w:val="1F1F1F"/>
              </w:rPr>
              <w:t>económico</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Programas</w:t>
            </w:r>
            <w:proofErr w:type="spellEnd"/>
            <w:r>
              <w:rPr>
                <w:rFonts w:ascii="Google Sans Text" w:eastAsia="Google Sans Text" w:hAnsi="Google Sans Text" w:cs="Google Sans Text"/>
                <w:color w:val="1F1F1F"/>
              </w:rPr>
              <w:t xml:space="preserve"> </w:t>
            </w:r>
            <w:proofErr w:type="spellStart"/>
            <w:r>
              <w:rPr>
                <w:rFonts w:ascii="Google Sans Text" w:eastAsia="Google Sans Text" w:hAnsi="Google Sans Text" w:cs="Google Sans Text"/>
                <w:color w:val="1F1F1F"/>
              </w:rPr>
              <w:t>implementados</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rPr>
            </w:pPr>
            <w:r>
              <w:rPr>
                <w:rFonts w:ascii="Google Sans Text" w:eastAsia="Google Sans Text" w:hAnsi="Google Sans Text" w:cs="Google Sans Text"/>
                <w:color w:val="1F1F1F"/>
              </w:rPr>
              <w:t xml:space="preserve">1 </w:t>
            </w:r>
            <w:r>
              <w:rPr>
                <w:rFonts w:ascii="Google Sans Text" w:eastAsia="Google Sans Text" w:hAnsi="Google Sans Text" w:cs="Google Sans Text"/>
                <w:color w:val="444746"/>
                <w:sz w:val="24"/>
                <w:szCs w:val="24"/>
                <w:vertAlign w:val="superscript"/>
              </w:rPr>
              <w:t>1</w:t>
            </w:r>
          </w:p>
        </w:tc>
      </w:tr>
      <w:tr w:rsidR="000B46E3">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Pr="00302B0F"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lang w:val="es-ES"/>
              </w:rPr>
            </w:pPr>
            <w:r w:rsidRPr="00302B0F">
              <w:rPr>
                <w:rFonts w:ascii="Google Sans Text" w:eastAsia="Google Sans Text" w:hAnsi="Google Sans Text" w:cs="Google Sans Text"/>
                <w:color w:val="1F1F1F"/>
                <w:lang w:val="es-ES"/>
              </w:rPr>
              <w:t>Cobertura de ornato y poda</w:t>
            </w:r>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before="120" w:after="120" w:line="275" w:lineRule="auto"/>
              <w:rPr>
                <w:rFonts w:ascii="Google Sans Text" w:eastAsia="Google Sans Text" w:hAnsi="Google Sans Text" w:cs="Google Sans Text"/>
                <w:color w:val="1F1F1F"/>
              </w:rPr>
            </w:pPr>
            <w:proofErr w:type="spellStart"/>
            <w:r>
              <w:rPr>
                <w:rFonts w:ascii="Google Sans Text" w:eastAsia="Google Sans Text" w:hAnsi="Google Sans Text" w:cs="Google Sans Text"/>
                <w:color w:val="1F1F1F"/>
              </w:rPr>
              <w:t>Porcentaje</w:t>
            </w:r>
            <w:proofErr w:type="spellEnd"/>
            <w:r>
              <w:rPr>
                <w:rFonts w:ascii="Google Sans Text" w:eastAsia="Google Sans Text" w:hAnsi="Google Sans Text" w:cs="Google Sans Text"/>
                <w:color w:val="1F1F1F"/>
              </w:rPr>
              <w:t xml:space="preserve"> de </w:t>
            </w:r>
            <w:proofErr w:type="spellStart"/>
            <w:r>
              <w:rPr>
                <w:rFonts w:ascii="Google Sans Text" w:eastAsia="Google Sans Text" w:hAnsi="Google Sans Text" w:cs="Google Sans Text"/>
                <w:color w:val="1F1F1F"/>
              </w:rPr>
              <w:t>parques</w:t>
            </w:r>
            <w:proofErr w:type="spellEnd"/>
          </w:p>
        </w:tc>
        <w:tc>
          <w:tcPr>
            <w:tcW w:w="312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0B46E3" w:rsidRDefault="007A2CC0">
            <w:pPr>
              <w:pBdr>
                <w:top w:val="nil"/>
                <w:left w:val="nil"/>
                <w:bottom w:val="nil"/>
                <w:right w:val="nil"/>
                <w:between w:val="nil"/>
              </w:pBdr>
              <w:spacing w:line="275" w:lineRule="auto"/>
              <w:rPr>
                <w:rFonts w:ascii="Google Sans Text" w:eastAsia="Google Sans Text" w:hAnsi="Google Sans Text" w:cs="Google Sans Text"/>
                <w:color w:val="444746"/>
                <w:sz w:val="24"/>
                <w:szCs w:val="24"/>
                <w:vertAlign w:val="superscript"/>
              </w:rPr>
            </w:pPr>
            <w:r>
              <w:rPr>
                <w:rFonts w:ascii="Google Sans Text" w:eastAsia="Google Sans Text" w:hAnsi="Google Sans Text" w:cs="Google Sans Text"/>
                <w:color w:val="1F1F1F"/>
              </w:rPr>
              <w:t xml:space="preserve">100% </w:t>
            </w:r>
            <w:r>
              <w:rPr>
                <w:rFonts w:ascii="Google Sans Text" w:eastAsia="Google Sans Text" w:hAnsi="Google Sans Text" w:cs="Google Sans Text"/>
                <w:color w:val="444746"/>
                <w:sz w:val="24"/>
                <w:szCs w:val="24"/>
                <w:vertAlign w:val="superscript"/>
              </w:rPr>
              <w:t>1</w:t>
            </w:r>
          </w:p>
        </w:tc>
      </w:tr>
    </w:tbl>
    <w:p w:rsidR="000B46E3" w:rsidRPr="00302B0F" w:rsidRDefault="007A2CC0">
      <w:pPr>
        <w:pStyle w:val="Ttulo2"/>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Movilidad sostenible y espacio público peatonal</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movilidad es un eje fundamental de la Armenia Moderna. La infraestructura vial se asocia íntimamente con el espacio público, reconociendo que los andenes son la estructura urbana con mayor cobertura y continuidad para garantizar el acceso equitativo a l</w:t>
      </w:r>
      <w:r w:rsidRPr="00302B0F">
        <w:rPr>
          <w:rFonts w:ascii="Google Sans Text" w:eastAsia="Google Sans Text" w:hAnsi="Google Sans Text" w:cs="Google Sans Text"/>
          <w:color w:val="1F1F1F"/>
          <w:lang w:val="es-ES"/>
        </w:rPr>
        <w:t xml:space="preserve">os servicios de la </w:t>
      </w:r>
      <w:r w:rsidRPr="00302B0F">
        <w:rPr>
          <w:rFonts w:ascii="Google Sans Text" w:eastAsia="Google Sans Text" w:hAnsi="Google Sans Text" w:cs="Google Sans Text"/>
          <w:color w:val="1F1F1F"/>
          <w:lang w:val="es-ES"/>
        </w:rPr>
        <w:lastRenderedPageBreak/>
        <w:t>ciudad.</w:t>
      </w:r>
      <w:r w:rsidRPr="00302B0F">
        <w:rPr>
          <w:rFonts w:ascii="Google Sans Text" w:eastAsia="Google Sans Text" w:hAnsi="Google Sans Text" w:cs="Google Sans Text"/>
          <w:color w:val="444746"/>
          <w:sz w:val="24"/>
          <w:szCs w:val="24"/>
          <w:vertAlign w:val="superscript"/>
          <w:lang w:val="es-ES"/>
        </w:rPr>
        <w:t>22</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El papel de AMABLE E.I.C.E. y el SETP</w:t>
      </w:r>
    </w:p>
    <w:p w:rsidR="000B46E3" w:rsidRPr="00302B0F" w:rsidRDefault="007A2CC0">
      <w:pPr>
        <w:pBdr>
          <w:top w:val="nil"/>
          <w:left w:val="nil"/>
          <w:bottom w:val="nil"/>
          <w:right w:val="nil"/>
          <w:between w:val="nil"/>
        </w:pBdr>
        <w:spacing w:after="120" w:line="275" w:lineRule="auto"/>
        <w:rPr>
          <w:rFonts w:ascii="Google Sans Text" w:eastAsia="Google Sans Text" w:hAnsi="Google Sans Text" w:cs="Google Sans Text"/>
          <w:color w:val="1F1F1F"/>
          <w:lang w:val="es-ES"/>
        </w:rPr>
      </w:pPr>
      <w:r w:rsidRPr="00302B0F">
        <w:rPr>
          <w:rFonts w:ascii="Google Sans Text" w:eastAsia="Google Sans Text" w:hAnsi="Google Sans Text" w:cs="Google Sans Text"/>
          <w:color w:val="1F1F1F"/>
          <w:lang w:val="es-ES"/>
        </w:rPr>
        <w:t>La empresa AMABLE es la responsable de ejecutar los proyectos vinculados al Sistema Estratégico de Transporte Público (SETP).</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Estos proyectos incluyen una transformación masiva del perfil vial de la ciudad, donde se prioriza al peatón mediante la construcción de andenes con estándares de accesibilidad universal.</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Entre las metas proyectadas se encuentran:</w:t>
      </w:r>
    </w:p>
    <w:p w:rsidR="000B46E3" w:rsidRPr="00302B0F" w:rsidRDefault="007A2CC0">
      <w:pPr>
        <w:numPr>
          <w:ilvl w:val="0"/>
          <w:numId w:val="1"/>
        </w:numPr>
        <w:pBdr>
          <w:top w:val="nil"/>
          <w:left w:val="nil"/>
          <w:bottom w:val="nil"/>
          <w:right w:val="nil"/>
          <w:between w:val="nil"/>
        </w:pBdr>
        <w:spacing w:line="275" w:lineRule="auto"/>
        <w:rPr>
          <w:lang w:val="es-ES"/>
        </w:rPr>
      </w:pPr>
      <w:r w:rsidRPr="00302B0F">
        <w:rPr>
          <w:rFonts w:ascii="Google Sans Text" w:eastAsia="Google Sans Text" w:hAnsi="Google Sans Text" w:cs="Google Sans Text"/>
          <w:color w:val="1F1F1F"/>
          <w:lang w:val="es-ES"/>
        </w:rPr>
        <w:t>Rehabilitación de 5,280</w:t>
      </w:r>
      <w:r w:rsidRPr="00302B0F">
        <w:rPr>
          <w:rFonts w:ascii="Google Sans Text" w:eastAsia="Google Sans Text" w:hAnsi="Google Sans Text" w:cs="Google Sans Text"/>
          <w:color w:val="1F1F1F"/>
          <w:lang w:val="es-ES"/>
        </w:rPr>
        <w:t xml:space="preserve"> metros lineales de andenes en corredores estratégicos.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numPr>
          <w:ilvl w:val="0"/>
          <w:numId w:val="1"/>
        </w:numPr>
        <w:pBdr>
          <w:top w:val="nil"/>
          <w:left w:val="nil"/>
          <w:bottom w:val="nil"/>
          <w:right w:val="nil"/>
          <w:between w:val="nil"/>
        </w:pBdr>
        <w:spacing w:line="275" w:lineRule="auto"/>
        <w:rPr>
          <w:lang w:val="es-ES"/>
        </w:rPr>
      </w:pPr>
      <w:r w:rsidRPr="00302B0F">
        <w:rPr>
          <w:rFonts w:ascii="Google Sans Text" w:eastAsia="Google Sans Text" w:hAnsi="Google Sans Text" w:cs="Google Sans Text"/>
          <w:color w:val="1F1F1F"/>
          <w:lang w:val="es-ES"/>
        </w:rPr>
        <w:t>Construcción de 6 portales de transporte que funcionarán como nodos de intercambio y centros de servicios.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numPr>
          <w:ilvl w:val="0"/>
          <w:numId w:val="1"/>
        </w:numPr>
        <w:pBdr>
          <w:top w:val="nil"/>
          <w:left w:val="nil"/>
          <w:bottom w:val="nil"/>
          <w:right w:val="nil"/>
          <w:between w:val="nil"/>
        </w:pBdr>
        <w:spacing w:after="120" w:line="275" w:lineRule="auto"/>
        <w:rPr>
          <w:lang w:val="es-ES"/>
        </w:rPr>
      </w:pPr>
      <w:r w:rsidRPr="00302B0F">
        <w:rPr>
          <w:rFonts w:ascii="Google Sans Text" w:eastAsia="Google Sans Text" w:hAnsi="Google Sans Text" w:cs="Google Sans Text"/>
          <w:color w:val="1F1F1F"/>
          <w:lang w:val="es-ES"/>
        </w:rPr>
        <w:t>Mejoramiento de 61,500 metros lineales de infraestructura vial con dispositivos de segurida</w:t>
      </w:r>
      <w:r w:rsidRPr="00302B0F">
        <w:rPr>
          <w:rFonts w:ascii="Google Sans Text" w:eastAsia="Google Sans Text" w:hAnsi="Google Sans Text" w:cs="Google Sans Text"/>
          <w:color w:val="1F1F1F"/>
          <w:lang w:val="es-ES"/>
        </w:rPr>
        <w:t>d y señalización inteligente.</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Ciclo-infraestructura y transporte alternativo</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 xml:space="preserve">El plan fomenta la movilidad activa a través de la expansión de la red de </w:t>
      </w:r>
      <w:proofErr w:type="spellStart"/>
      <w:r w:rsidRPr="00302B0F">
        <w:rPr>
          <w:rFonts w:ascii="Google Sans Text" w:eastAsia="Google Sans Text" w:hAnsi="Google Sans Text" w:cs="Google Sans Text"/>
          <w:color w:val="1F1F1F"/>
          <w:lang w:val="es-ES"/>
        </w:rPr>
        <w:t>ciclorrutas</w:t>
      </w:r>
      <w:proofErr w:type="spellEnd"/>
      <w:r w:rsidRPr="00302B0F">
        <w:rPr>
          <w:rFonts w:ascii="Google Sans Text" w:eastAsia="Google Sans Text" w:hAnsi="Google Sans Text" w:cs="Google Sans Text"/>
          <w:color w:val="1F1F1F"/>
          <w:lang w:val="es-ES"/>
        </w:rPr>
        <w:t>. Se contempla el mantenimiento de 3,500 metros lineales de ciclo-infraestructura existente y la construcción de 2,000 metros adicionales.</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Además, la construcción de 4 </w:t>
      </w:r>
      <w:proofErr w:type="spellStart"/>
      <w:r w:rsidRPr="00302B0F">
        <w:rPr>
          <w:rFonts w:ascii="Google Sans Text" w:eastAsia="Google Sans Text" w:hAnsi="Google Sans Text" w:cs="Google Sans Text"/>
          <w:color w:val="1F1F1F"/>
          <w:lang w:val="es-ES"/>
        </w:rPr>
        <w:t>ci</w:t>
      </w:r>
      <w:r w:rsidRPr="00302B0F">
        <w:rPr>
          <w:rFonts w:ascii="Google Sans Text" w:eastAsia="Google Sans Text" w:hAnsi="Google Sans Text" w:cs="Google Sans Text"/>
          <w:color w:val="1F1F1F"/>
          <w:lang w:val="es-ES"/>
        </w:rPr>
        <w:t>cloparqueaderos</w:t>
      </w:r>
      <w:proofErr w:type="spellEnd"/>
      <w:r w:rsidRPr="00302B0F">
        <w:rPr>
          <w:rFonts w:ascii="Google Sans Text" w:eastAsia="Google Sans Text" w:hAnsi="Google Sans Text" w:cs="Google Sans Text"/>
          <w:color w:val="1F1F1F"/>
          <w:lang w:val="es-ES"/>
        </w:rPr>
        <w:t xml:space="preserve"> públicos busca incentivar el uso de la bicicleta como medio de transporte sostenible y saludable, integrando estas rutas con los parques y plazas principales de la ciudad.</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2"/>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Proyectos estratégicos de renovación y gestión territorial</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El PDM A</w:t>
      </w:r>
      <w:r w:rsidRPr="00302B0F">
        <w:rPr>
          <w:rFonts w:ascii="Google Sans Text" w:eastAsia="Google Sans Text" w:hAnsi="Google Sans Text" w:cs="Google Sans Text"/>
          <w:color w:val="1F1F1F"/>
          <w:lang w:val="es-ES"/>
        </w:rPr>
        <w:t>rmenia 2024-2027 identifica una serie de proyectos estratégicos que requieren una gestión intersectorial y la concurrencia de recursos municipales, departamentales y nacionales.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Fortalecimiento del Sector Plaza de Toros (El Bosque)</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Este proyecto, detallad</w:t>
      </w:r>
      <w:r w:rsidRPr="00302B0F">
        <w:rPr>
          <w:rFonts w:ascii="Google Sans Text" w:eastAsia="Google Sans Text" w:hAnsi="Google Sans Text" w:cs="Google Sans Text"/>
          <w:color w:val="1F1F1F"/>
          <w:lang w:val="es-ES"/>
        </w:rPr>
        <w:t>o en la página 198 del plan, es un pilar de la renovación urbana.</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Busca transformar la antigua Plaza de Toros y su área de influencia en un nodo de desarrollo cultural y deportivo. La intervención incluye la reconversión de la infraestructura para usos mú</w:t>
      </w:r>
      <w:r w:rsidRPr="00302B0F">
        <w:rPr>
          <w:rFonts w:ascii="Google Sans Text" w:eastAsia="Google Sans Text" w:hAnsi="Google Sans Text" w:cs="Google Sans Text"/>
          <w:color w:val="1F1F1F"/>
          <w:lang w:val="es-ES"/>
        </w:rPr>
        <w:t>ltiples, ferias y eventos, mejorando significativamente el entorno urbanístico de los barrios colindantes mediante nueva iluminación y seguridad.</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Maloca Indígena y espacios de inclusión cultural</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Reconociendo la diversidad étnica del municipio, el plan inc</w:t>
      </w:r>
      <w:r w:rsidRPr="00302B0F">
        <w:rPr>
          <w:rFonts w:ascii="Google Sans Text" w:eastAsia="Google Sans Text" w:hAnsi="Google Sans Text" w:cs="Google Sans Text"/>
          <w:color w:val="1F1F1F"/>
          <w:lang w:val="es-ES"/>
        </w:rPr>
        <w:t xml:space="preserve">luye la construcción de una </w:t>
      </w:r>
      <w:r w:rsidRPr="00302B0F">
        <w:rPr>
          <w:rFonts w:ascii="Google Sans Text" w:eastAsia="Google Sans Text" w:hAnsi="Google Sans Text" w:cs="Google Sans Text"/>
          <w:color w:val="1F1F1F"/>
          <w:lang w:val="es-ES"/>
        </w:rPr>
        <w:lastRenderedPageBreak/>
        <w:t>maloca para la población indígena presente en Armenia.</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Este proyecto, que se encuentra en fase III de pre-inversión, se concibe como un equipamiento cultural público que respeta los saberes ancestrales y promueve el diálogo int</w:t>
      </w:r>
      <w:r w:rsidRPr="00302B0F">
        <w:rPr>
          <w:rFonts w:ascii="Google Sans Text" w:eastAsia="Google Sans Text" w:hAnsi="Google Sans Text" w:cs="Google Sans Text"/>
          <w:color w:val="1F1F1F"/>
          <w:lang w:val="es-ES"/>
        </w:rPr>
        <w:t>ercultural en el territorio.</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Centro de Bienestar Animal</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Una demanda sentida de la ciudadanía es la protección de los animales domésticos y en situación de calle. El proyecto para la construcción del Centro de Bienestar Animal se integra en la planeación t</w:t>
      </w:r>
      <w:r w:rsidRPr="00302B0F">
        <w:rPr>
          <w:rFonts w:ascii="Google Sans Text" w:eastAsia="Google Sans Text" w:hAnsi="Google Sans Text" w:cs="Google Sans Text"/>
          <w:color w:val="1F1F1F"/>
          <w:lang w:val="es-ES"/>
        </w:rPr>
        <w:t>erritorial como un equipamiento de salud pública y ética social, articulado con la política nacional de protección animal.</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2"/>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Espacio público como escenario de bienestar y cultura</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Línea 1 del plan, "Armenia Territorio Social", entiende que el espacio públ</w:t>
      </w:r>
      <w:r w:rsidRPr="00302B0F">
        <w:rPr>
          <w:rFonts w:ascii="Google Sans Text" w:eastAsia="Google Sans Text" w:hAnsi="Google Sans Text" w:cs="Google Sans Text"/>
          <w:color w:val="1F1F1F"/>
          <w:lang w:val="es-ES"/>
        </w:rPr>
        <w:t>ico es el lugar donde se materializan las políticas de deporte, recreación y cultura.</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Fomento al deporte y la actividad física</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El IMDERA (Instituto Municipal del Deporte y la Recreación) es el encargado de dinamizar los escenarios deportivos de la ciudad.</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plan contempla el mantenimiento de 912 infraestructuras deportivas, incluyendo polideportivos, canchas y gimnasios al aire libre.</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Estas intervenciones buscan fomentar estilos de vida saludables y reducir los riesgos sociales en niños y jóvenes, vincu</w:t>
      </w:r>
      <w:r w:rsidRPr="00302B0F">
        <w:rPr>
          <w:rFonts w:ascii="Google Sans Text" w:eastAsia="Google Sans Text" w:hAnsi="Google Sans Text" w:cs="Google Sans Text"/>
          <w:color w:val="1F1F1F"/>
          <w:lang w:val="es-ES"/>
        </w:rPr>
        <w:t>lando a 40,000 beneficiarios en escuelas deportivas durante el cuatrienio.</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Cultura ciudadana y apropiación del patrimonio</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CORPOCULTURA lidera las acciones para la preservación del patrimonio material e inmaterial.</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espacio público urbano, especialmente</w:t>
      </w:r>
      <w:r w:rsidRPr="00302B0F">
        <w:rPr>
          <w:rFonts w:ascii="Google Sans Text" w:eastAsia="Google Sans Text" w:hAnsi="Google Sans Text" w:cs="Google Sans Text"/>
          <w:color w:val="1F1F1F"/>
          <w:lang w:val="es-ES"/>
        </w:rPr>
        <w:t xml:space="preserve"> en el centro histórico y en la zona de la antigua estación del ferrocarril, se convierte en un museo a cielo abierto que resalta el Paisaje Cultural Cafetero.</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plan incluye estímulos para artistas y gestores culturales que utilicen las plazas y parques</w:t>
      </w:r>
      <w:r w:rsidRPr="00302B0F">
        <w:rPr>
          <w:rFonts w:ascii="Google Sans Text" w:eastAsia="Google Sans Text" w:hAnsi="Google Sans Text" w:cs="Google Sans Text"/>
          <w:color w:val="1F1F1F"/>
          <w:lang w:val="es-ES"/>
        </w:rPr>
        <w:t xml:space="preserve"> como escenarios de circulación artística, promoviendo la cultura ciudadana y el sentido de pertenencia.</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2"/>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Participación ciudadana y construcción colectiva</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El Plan de Desarrollo Municipal 2024-2027 es el resultado de un proceso de participación activa denom</w:t>
      </w:r>
      <w:r w:rsidRPr="00302B0F">
        <w:rPr>
          <w:rFonts w:ascii="Google Sans Text" w:eastAsia="Google Sans Text" w:hAnsi="Google Sans Text" w:cs="Google Sans Text"/>
          <w:color w:val="1F1F1F"/>
          <w:lang w:val="es-ES"/>
        </w:rPr>
        <w:t>inado "Pensemos Armenia".</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Se realizaron 41 mesas de participación ciudadana donde se recolectaron las inquietudes y propuestas de los habitantes de todas las comunas.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lastRenderedPageBreak/>
        <w:t>El rol del Consejo Territorial de Planeación (CTP)</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 xml:space="preserve">El CTP, como instancia de discusión </w:t>
      </w:r>
      <w:r w:rsidRPr="00302B0F">
        <w:rPr>
          <w:rFonts w:ascii="Google Sans Text" w:eastAsia="Google Sans Text" w:hAnsi="Google Sans Text" w:cs="Google Sans Text"/>
          <w:color w:val="1F1F1F"/>
          <w:lang w:val="es-ES"/>
        </w:rPr>
        <w:t>y consulta, emitió conceptos técnicos y recomendaciones sobre la propuesta del plan.</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La representación de sectores como el comercio formal, la academia, las juntas de acción comunal y la comunidad en condición de discapacidad aseguró que los lineamientos </w:t>
      </w:r>
      <w:r w:rsidRPr="00302B0F">
        <w:rPr>
          <w:rFonts w:ascii="Google Sans Text" w:eastAsia="Google Sans Text" w:hAnsi="Google Sans Text" w:cs="Google Sans Text"/>
          <w:color w:val="1F1F1F"/>
          <w:lang w:val="es-ES"/>
        </w:rPr>
        <w:t>de espacio público respondieran a una visión integral y no meramente técnica.</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Descentralización y presupuesto participativo</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administración municipal busca fortalecer la autonomía de las Juntas Administradoras Locales (JAL) y los organismos de acción co</w:t>
      </w:r>
      <w:r w:rsidRPr="00302B0F">
        <w:rPr>
          <w:rFonts w:ascii="Google Sans Text" w:eastAsia="Google Sans Text" w:hAnsi="Google Sans Text" w:cs="Google Sans Text"/>
          <w:color w:val="1F1F1F"/>
          <w:lang w:val="es-ES"/>
        </w:rPr>
        <w:t>munal.</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A través del presupuesto participativo, las comunidades pueden decidir sobre pequeñas obras de mejoramiento en sus barrios, como la adecuación de salones comunales o la reparación de parques vecinales, asegurando que la inversión llegue a los micro</w:t>
      </w:r>
      <w:r w:rsidRPr="00302B0F">
        <w:rPr>
          <w:rFonts w:ascii="Google Sans Text" w:eastAsia="Google Sans Text" w:hAnsi="Google Sans Text" w:cs="Google Sans Text"/>
          <w:color w:val="1F1F1F"/>
          <w:lang w:val="es-ES"/>
        </w:rPr>
        <w:t>-territorios más necesitados.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2"/>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Financiación y sostenibilidad del sistema de espacio público</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ejecución de las metas propuestas requiere un esquema de financiación diverso y eficiente. El Plan Financiero de Armenia 2024-2027 contempla varias fuentes de recursos.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Sistema General de Regalías (SGR)</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 xml:space="preserve">La Ley 2056 de 2020 regula el funcionamiento del </w:t>
      </w:r>
      <w:r w:rsidRPr="00302B0F">
        <w:rPr>
          <w:rFonts w:ascii="Google Sans Text" w:eastAsia="Google Sans Text" w:hAnsi="Google Sans Text" w:cs="Google Sans Text"/>
          <w:color w:val="1F1F1F"/>
          <w:lang w:val="es-ES"/>
        </w:rPr>
        <w:t>SGR, el cual es una fuente vital para proyectos de inversión de alto impacto.</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Armenia ha priorizado iniciativas con cargo a estos recursos a través de ejercicios de participación ciudadana, enfocándose en infraestructura social y ambiental.</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 xml:space="preserve">Valorización </w:t>
      </w:r>
      <w:r w:rsidRPr="00302B0F">
        <w:rPr>
          <w:rFonts w:ascii="Google Sans" w:eastAsia="Google Sans" w:hAnsi="Google Sans" w:cs="Google Sans"/>
          <w:color w:val="1F1F1F"/>
          <w:lang w:val="es-ES"/>
        </w:rPr>
        <w:t>y plusvalía</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Como se mencionó anteriormente, la Ley 388 faculta a los municipios para captar las plusvalías generadas por la acción urbanística y para implementar proyectos mediante el sistema de valorización.</w:t>
      </w:r>
      <w:r w:rsidRPr="00302B0F">
        <w:rPr>
          <w:rFonts w:ascii="Google Sans Text" w:eastAsia="Google Sans Text" w:hAnsi="Google Sans Text" w:cs="Google Sans Text"/>
          <w:color w:val="444746"/>
          <w:sz w:val="24"/>
          <w:szCs w:val="24"/>
          <w:vertAlign w:val="superscript"/>
          <w:lang w:val="es-ES"/>
        </w:rPr>
        <w:t>2</w:t>
      </w:r>
      <w:r w:rsidRPr="00302B0F">
        <w:rPr>
          <w:rFonts w:ascii="Google Sans Text" w:eastAsia="Google Sans Text" w:hAnsi="Google Sans Text" w:cs="Google Sans Text"/>
          <w:color w:val="1F1F1F"/>
          <w:lang w:val="es-ES"/>
        </w:rPr>
        <w:t xml:space="preserve"> Armenia utiliza estos instrumentos para financ</w:t>
      </w:r>
      <w:r w:rsidRPr="00302B0F">
        <w:rPr>
          <w:rFonts w:ascii="Google Sans Text" w:eastAsia="Google Sans Text" w:hAnsi="Google Sans Text" w:cs="Google Sans Text"/>
          <w:color w:val="1F1F1F"/>
          <w:lang w:val="es-ES"/>
        </w:rPr>
        <w:t>iar obras viales y de mejoramiento del entorno urbano, distribuyendo de manera equitativa las cargas y beneficios del desarrollo.</w:t>
      </w:r>
      <w:r w:rsidRPr="00302B0F">
        <w:rPr>
          <w:rFonts w:ascii="Google Sans Text" w:eastAsia="Google Sans Text" w:hAnsi="Google Sans Text" w:cs="Google Sans Text"/>
          <w:color w:val="444746"/>
          <w:sz w:val="24"/>
          <w:szCs w:val="24"/>
          <w:vertAlign w:val="superscript"/>
          <w:lang w:val="es-ES"/>
        </w:rPr>
        <w:t>4</w:t>
      </w:r>
    </w:p>
    <w:p w:rsidR="000B46E3" w:rsidRPr="00302B0F" w:rsidRDefault="007A2CC0">
      <w:pPr>
        <w:pStyle w:val="Ttulo3"/>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Alianzas público-privadas (APP)</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normativa nacional, a través de la Ley 1508 de 2012, permite la vinculación de capital pri</w:t>
      </w:r>
      <w:r w:rsidRPr="00302B0F">
        <w:rPr>
          <w:rFonts w:ascii="Google Sans Text" w:eastAsia="Google Sans Text" w:hAnsi="Google Sans Text" w:cs="Google Sans Text"/>
          <w:color w:val="1F1F1F"/>
          <w:lang w:val="es-ES"/>
        </w:rPr>
        <w:t>vado en la provisión de bienes públicos y sus servicios relacionados.</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Armenia explora este modelo para la gestión de equipamientos urbanos y la operación de sistemas de movilidad, </w:t>
      </w:r>
      <w:r w:rsidRPr="00302B0F">
        <w:rPr>
          <w:rFonts w:ascii="Google Sans Text" w:eastAsia="Google Sans Text" w:hAnsi="Google Sans Text" w:cs="Google Sans Text"/>
          <w:color w:val="1F1F1F"/>
          <w:lang w:val="es-ES"/>
        </w:rPr>
        <w:lastRenderedPageBreak/>
        <w:t>buscando eficiencia y calidad en la prestación de servicios.</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Style w:val="Ttulo2"/>
        <w:spacing w:before="0" w:after="120" w:line="275" w:lineRule="auto"/>
        <w:rPr>
          <w:rFonts w:ascii="Google Sans" w:eastAsia="Google Sans" w:hAnsi="Google Sans" w:cs="Google Sans"/>
          <w:color w:val="1F1F1F"/>
          <w:lang w:val="es-ES"/>
        </w:rPr>
      </w:pPr>
      <w:r w:rsidRPr="00302B0F">
        <w:rPr>
          <w:rFonts w:ascii="Google Sans" w:eastAsia="Google Sans" w:hAnsi="Google Sans" w:cs="Google Sans"/>
          <w:color w:val="1F1F1F"/>
          <w:lang w:val="es-ES"/>
        </w:rPr>
        <w:t xml:space="preserve">Conclusiones </w:t>
      </w:r>
      <w:r w:rsidRPr="00302B0F">
        <w:rPr>
          <w:rFonts w:ascii="Google Sans" w:eastAsia="Google Sans" w:hAnsi="Google Sans" w:cs="Google Sans"/>
          <w:color w:val="1F1F1F"/>
          <w:lang w:val="es-ES"/>
        </w:rPr>
        <w:t>y visión de futuro al 2027</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El Plan de Desarrollo Municipal de Armenia 2024-2027 se consolida como una apuesta ambiciosa y técnicamente sólida para transformar la ciudad a través de su espacio público. La articulación con la normativa nacional no es solo un</w:t>
      </w:r>
      <w:r w:rsidRPr="00302B0F">
        <w:rPr>
          <w:rFonts w:ascii="Google Sans Text" w:eastAsia="Google Sans Text" w:hAnsi="Google Sans Text" w:cs="Google Sans Text"/>
          <w:color w:val="1F1F1F"/>
          <w:lang w:val="es-ES"/>
        </w:rPr>
        <w:t xml:space="preserve"> cumplimiento formal, sino una integración profunda de los estándares de sostenibilidad, accesibilidad y justicia social que demanda el siglo XXI.</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Bdr>
          <w:top w:val="nil"/>
          <w:left w:val="nil"/>
          <w:bottom w:val="nil"/>
          <w:right w:val="nil"/>
          <w:between w:val="nil"/>
        </w:pBdr>
        <w:spacing w:after="240"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La visión de Armenia al 2027 es la de una capital dinámica y progresista, donde los parques y plazas son el epicentro del tejido social, la movilidad es eficiente y respetuosa con el peatón, y la administración pública es transparente y orientada al servic</w:t>
      </w:r>
      <w:r w:rsidRPr="00302B0F">
        <w:rPr>
          <w:rFonts w:ascii="Google Sans Text" w:eastAsia="Google Sans Text" w:hAnsi="Google Sans Text" w:cs="Google Sans Text"/>
          <w:color w:val="1F1F1F"/>
          <w:lang w:val="es-ES"/>
        </w:rPr>
        <w:t>io.</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éxito de este plan dependerá de la capacidad de ejecución de la Secretaría de Infraestructura y el Departamento Administrativo de Planeación, pero sobre todo, del empoderamiento de la ciudadanía en la vigilancia y el cuidado de sus espacios comunes</w:t>
      </w:r>
      <w:r w:rsidRPr="00302B0F">
        <w:rPr>
          <w:rFonts w:ascii="Google Sans Text" w:eastAsia="Google Sans Text" w:hAnsi="Google Sans Text" w:cs="Google Sans Text"/>
          <w:color w:val="1F1F1F"/>
          <w:lang w:val="es-ES"/>
        </w:rPr>
        <w:t>.</w:t>
      </w:r>
      <w:r w:rsidRPr="00302B0F">
        <w:rPr>
          <w:rFonts w:ascii="Google Sans Text" w:eastAsia="Google Sans Text" w:hAnsi="Google Sans Text" w:cs="Google Sans Text"/>
          <w:color w:val="444746"/>
          <w:sz w:val="24"/>
          <w:szCs w:val="24"/>
          <w:vertAlign w:val="superscript"/>
          <w:lang w:val="es-ES"/>
        </w:rPr>
        <w:t>1</w:t>
      </w:r>
    </w:p>
    <w:p w:rsidR="000B46E3" w:rsidRPr="00302B0F" w:rsidRDefault="007A2CC0">
      <w:pPr>
        <w:pBdr>
          <w:top w:val="nil"/>
          <w:left w:val="nil"/>
          <w:bottom w:val="nil"/>
          <w:right w:val="nil"/>
          <w:between w:val="nil"/>
        </w:pBdr>
        <w:spacing w:after="255" w:line="275" w:lineRule="auto"/>
        <w:rPr>
          <w:rFonts w:ascii="Google Sans Text" w:eastAsia="Google Sans Text" w:hAnsi="Google Sans Text" w:cs="Google Sans Text"/>
          <w:color w:val="444746"/>
          <w:sz w:val="24"/>
          <w:szCs w:val="24"/>
          <w:vertAlign w:val="superscript"/>
          <w:lang w:val="es-ES"/>
        </w:rPr>
      </w:pPr>
      <w:r w:rsidRPr="00302B0F">
        <w:rPr>
          <w:rFonts w:ascii="Google Sans Text" w:eastAsia="Google Sans Text" w:hAnsi="Google Sans Text" w:cs="Google Sans Text"/>
          <w:color w:val="1F1F1F"/>
          <w:lang w:val="es-ES"/>
        </w:rPr>
        <w:t>En este cuatrienio, Armenia tiene la oportunidad histórica de reducir su déficit de espacio público efectivo, pasando de intervenciones fragmentadas a un sistema integrado que proteja su riqueza hídrica y promueva el desarrollo humano.</w:t>
      </w:r>
      <w:r w:rsidRPr="00302B0F">
        <w:rPr>
          <w:rFonts w:ascii="Google Sans Text" w:eastAsia="Google Sans Text" w:hAnsi="Google Sans Text" w:cs="Google Sans Text"/>
          <w:color w:val="444746"/>
          <w:sz w:val="24"/>
          <w:szCs w:val="24"/>
          <w:vertAlign w:val="superscript"/>
          <w:lang w:val="es-ES"/>
        </w:rPr>
        <w:t>1</w:t>
      </w:r>
      <w:r w:rsidRPr="00302B0F">
        <w:rPr>
          <w:rFonts w:ascii="Google Sans Text" w:eastAsia="Google Sans Text" w:hAnsi="Google Sans Text" w:cs="Google Sans Text"/>
          <w:color w:val="1F1F1F"/>
          <w:lang w:val="es-ES"/>
        </w:rPr>
        <w:t xml:space="preserve"> El espacio públi</w:t>
      </w:r>
      <w:r w:rsidRPr="00302B0F">
        <w:rPr>
          <w:rFonts w:ascii="Google Sans Text" w:eastAsia="Google Sans Text" w:hAnsi="Google Sans Text" w:cs="Google Sans Text"/>
          <w:color w:val="1F1F1F"/>
          <w:lang w:val="es-ES"/>
        </w:rPr>
        <w:t>co en Armenia, entendido como el escenario de las "más oportunidades", será el legado de una administración que busca reconciliar a la ciudad con su geografía y a sus habitantes con su derecho irrenunciable al disfrute de un entorno digno, vital y comparti</w:t>
      </w:r>
      <w:r w:rsidRPr="00302B0F">
        <w:rPr>
          <w:rFonts w:ascii="Google Sans Text" w:eastAsia="Google Sans Text" w:hAnsi="Google Sans Text" w:cs="Google Sans Text"/>
          <w:color w:val="1F1F1F"/>
          <w:lang w:val="es-ES"/>
        </w:rPr>
        <w:t>do.</w:t>
      </w:r>
      <w:r w:rsidRPr="00302B0F">
        <w:rPr>
          <w:rFonts w:ascii="Google Sans Text" w:eastAsia="Google Sans Text" w:hAnsi="Google Sans Text" w:cs="Google Sans Text"/>
          <w:color w:val="444746"/>
          <w:sz w:val="24"/>
          <w:szCs w:val="24"/>
          <w:vertAlign w:val="superscript"/>
          <w:lang w:val="es-ES"/>
        </w:rPr>
        <w:t>1</w:t>
      </w:r>
    </w:p>
    <w:p w:rsidR="000B46E3" w:rsidRDefault="007A2CC0">
      <w:pPr>
        <w:pStyle w:val="Ttulo4"/>
        <w:spacing w:before="0"/>
        <w:rPr>
          <w:rFonts w:ascii="Google Sans" w:eastAsia="Google Sans" w:hAnsi="Google Sans" w:cs="Google Sans"/>
        </w:rPr>
      </w:pPr>
      <w:proofErr w:type="spellStart"/>
      <w:r>
        <w:rPr>
          <w:rFonts w:ascii="Google Sans" w:eastAsia="Google Sans" w:hAnsi="Google Sans" w:cs="Google Sans"/>
        </w:rPr>
        <w:t>Obras</w:t>
      </w:r>
      <w:proofErr w:type="spellEnd"/>
      <w:r>
        <w:rPr>
          <w:rFonts w:ascii="Google Sans" w:eastAsia="Google Sans" w:hAnsi="Google Sans" w:cs="Google Sans"/>
        </w:rPr>
        <w:t xml:space="preserve"> </w:t>
      </w:r>
      <w:proofErr w:type="spellStart"/>
      <w:r>
        <w:rPr>
          <w:rFonts w:ascii="Google Sans" w:eastAsia="Google Sans" w:hAnsi="Google Sans" w:cs="Google Sans"/>
        </w:rPr>
        <w:t>citadas</w:t>
      </w:r>
      <w:proofErr w:type="spellEnd"/>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5.</w:t>
      </w:r>
      <w:proofErr w:type="gramStart"/>
      <w:r w:rsidRPr="00302B0F">
        <w:rPr>
          <w:rFonts w:ascii="Google Sans" w:eastAsia="Google Sans" w:hAnsi="Google Sans" w:cs="Google Sans"/>
          <w:sz w:val="24"/>
          <w:szCs w:val="24"/>
          <w:lang w:val="es-ES"/>
        </w:rPr>
        <w:t>5.Plan</w:t>
      </w:r>
      <w:proofErr w:type="gramEnd"/>
      <w:r w:rsidRPr="00302B0F">
        <w:rPr>
          <w:rFonts w:ascii="Google Sans" w:eastAsia="Google Sans" w:hAnsi="Google Sans" w:cs="Google Sans"/>
          <w:sz w:val="24"/>
          <w:szCs w:val="24"/>
          <w:lang w:val="es-ES"/>
        </w:rPr>
        <w:t xml:space="preserve"> de Desarrollo 2024-2027 ARMENIA CON MÁS OPORTUNIDADES.pdf</w:t>
      </w:r>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ACUERDO NÚMERO 019 de 2009 - </w:t>
      </w:r>
      <w:proofErr w:type="spellStart"/>
      <w:r w:rsidRPr="00302B0F">
        <w:rPr>
          <w:rFonts w:ascii="Google Sans" w:eastAsia="Google Sans" w:hAnsi="Google Sans" w:cs="Google Sans"/>
          <w:sz w:val="24"/>
          <w:szCs w:val="24"/>
          <w:lang w:val="es-ES"/>
        </w:rPr>
        <w:t>Asocapitales</w:t>
      </w:r>
      <w:proofErr w:type="spellEnd"/>
      <w:r w:rsidRPr="00302B0F">
        <w:rPr>
          <w:rFonts w:ascii="Google Sans" w:eastAsia="Google Sans" w:hAnsi="Google Sans" w:cs="Google Sans"/>
          <w:sz w:val="24"/>
          <w:szCs w:val="24"/>
          <w:lang w:val="es-ES"/>
        </w:rPr>
        <w:t xml:space="preserve">, fecha de acceso: febrero 8, 2026, </w:t>
      </w:r>
      <w:hyperlink r:id="rId6">
        <w:r w:rsidRPr="00302B0F">
          <w:rPr>
            <w:rFonts w:ascii="Google Sans" w:eastAsia="Google Sans" w:hAnsi="Google Sans" w:cs="Google Sans"/>
            <w:color w:val="0000EE"/>
            <w:sz w:val="24"/>
            <w:szCs w:val="24"/>
            <w:u w:val="single"/>
            <w:lang w:val="es-ES"/>
          </w:rPr>
          <w:t>https://www.asocapitales.co/wp-content/uploads/2020/11/Armenia_Acuerdo019_POT_2009.pdf</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Decreto 1504 de 1998 - Gestor Normativo - Función Pública, fecha </w:t>
      </w:r>
      <w:r w:rsidRPr="00302B0F">
        <w:rPr>
          <w:rFonts w:ascii="Google Sans" w:eastAsia="Google Sans" w:hAnsi="Google Sans" w:cs="Google Sans"/>
          <w:sz w:val="24"/>
          <w:szCs w:val="24"/>
          <w:lang w:val="es-ES"/>
        </w:rPr>
        <w:t xml:space="preserve">de acceso: febrero 8, 2026, </w:t>
      </w:r>
      <w:hyperlink r:id="rId7">
        <w:r w:rsidRPr="00302B0F">
          <w:rPr>
            <w:rFonts w:ascii="Google Sans" w:eastAsia="Google Sans" w:hAnsi="Google Sans" w:cs="Google Sans"/>
            <w:color w:val="0000EE"/>
            <w:sz w:val="24"/>
            <w:szCs w:val="24"/>
            <w:u w:val="single"/>
            <w:lang w:val="es-ES"/>
          </w:rPr>
          <w:t>https://www.funcionpublica.gov.co/eva/gestornormativo/norma.php?i=1259</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Ley 388 de 1997 - Gestor Normativo - Función Pública, fecha de acce</w:t>
      </w:r>
      <w:r w:rsidRPr="00302B0F">
        <w:rPr>
          <w:rFonts w:ascii="Google Sans" w:eastAsia="Google Sans" w:hAnsi="Google Sans" w:cs="Google Sans"/>
          <w:sz w:val="24"/>
          <w:szCs w:val="24"/>
          <w:lang w:val="es-ES"/>
        </w:rPr>
        <w:t xml:space="preserve">so: febrero 8, 2026, </w:t>
      </w:r>
      <w:hyperlink r:id="rId8">
        <w:r w:rsidRPr="00302B0F">
          <w:rPr>
            <w:rFonts w:ascii="Google Sans" w:eastAsia="Google Sans" w:hAnsi="Google Sans" w:cs="Google Sans"/>
            <w:color w:val="0000EE"/>
            <w:sz w:val="24"/>
            <w:szCs w:val="24"/>
            <w:u w:val="single"/>
            <w:lang w:val="es-ES"/>
          </w:rPr>
          <w:t>https://www.funcionpublica.gov.co/eva/gestornormativo/norma.php?i=339</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Ley 388 de 1997.pdf, fecha de acceso: febrero 8, 2026, </w:t>
      </w:r>
      <w:hyperlink r:id="rId9">
        <w:r w:rsidRPr="00302B0F">
          <w:rPr>
            <w:rFonts w:ascii="Google Sans" w:eastAsia="Google Sans" w:hAnsi="Google Sans" w:cs="Google Sans"/>
            <w:color w:val="0000EE"/>
            <w:sz w:val="24"/>
            <w:szCs w:val="24"/>
            <w:u w:val="single"/>
            <w:lang w:val="es-ES"/>
          </w:rPr>
          <w:t>https://www.sopo-cundinamarca.gov.co/loader.php?lServicio=Tools2&amp;lTipo=descargas&amp;lFuncion=visorpdf&amp;id=93&amp;pdf=1</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Leyes desde 1992 - Vigencia expresa </w:t>
      </w:r>
      <w:r w:rsidRPr="00302B0F">
        <w:rPr>
          <w:rFonts w:ascii="Google Sans" w:eastAsia="Google Sans" w:hAnsi="Google Sans" w:cs="Google Sans"/>
          <w:sz w:val="24"/>
          <w:szCs w:val="24"/>
          <w:lang w:val="es-ES"/>
        </w:rPr>
        <w:t xml:space="preserve">y control de constitucionalidad [LEY_0388_1997], fecha de acceso: febrero 8, 2026, </w:t>
      </w:r>
      <w:hyperlink r:id="rId10">
        <w:r w:rsidRPr="00302B0F">
          <w:rPr>
            <w:rFonts w:ascii="Google Sans" w:eastAsia="Google Sans" w:hAnsi="Google Sans" w:cs="Google Sans"/>
            <w:color w:val="0000EE"/>
            <w:sz w:val="24"/>
            <w:szCs w:val="24"/>
            <w:u w:val="single"/>
            <w:lang w:val="es-ES"/>
          </w:rPr>
          <w:t>http://www.secretariasenado.gov.co/senado/basedoc/ley_0388_1997.html</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lastRenderedPageBreak/>
        <w:t>Planes de Desarr</w:t>
      </w:r>
      <w:r w:rsidRPr="00302B0F">
        <w:rPr>
          <w:rFonts w:ascii="Google Sans" w:eastAsia="Google Sans" w:hAnsi="Google Sans" w:cs="Google Sans"/>
          <w:sz w:val="24"/>
          <w:szCs w:val="24"/>
          <w:lang w:val="es-ES"/>
        </w:rPr>
        <w:t xml:space="preserve">ollo - Partido Alianza Verde, fecha de acceso: febrero 8, 2026, </w:t>
      </w:r>
      <w:hyperlink r:id="rId11">
        <w:r w:rsidRPr="00302B0F">
          <w:rPr>
            <w:rFonts w:ascii="Google Sans" w:eastAsia="Google Sans" w:hAnsi="Google Sans" w:cs="Google Sans"/>
            <w:color w:val="0000EE"/>
            <w:sz w:val="24"/>
            <w:szCs w:val="24"/>
            <w:u w:val="single"/>
            <w:lang w:val="es-ES"/>
          </w:rPr>
          <w:t>https://alianzaverde.org.co/images/somos_ambiente/1/PLANES_DE_DESARROLLO.pdf</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Decreto Único Regla</w:t>
      </w:r>
      <w:r w:rsidRPr="00302B0F">
        <w:rPr>
          <w:rFonts w:ascii="Google Sans" w:eastAsia="Google Sans" w:hAnsi="Google Sans" w:cs="Google Sans"/>
          <w:sz w:val="24"/>
          <w:szCs w:val="24"/>
          <w:lang w:val="es-ES"/>
        </w:rPr>
        <w:t xml:space="preserve">mentario 1077 de 2015 Nivel Nacional, fecha de acceso: febrero 8, 2026, </w:t>
      </w:r>
      <w:hyperlink r:id="rId12">
        <w:r w:rsidRPr="00302B0F">
          <w:rPr>
            <w:rFonts w:ascii="Google Sans" w:eastAsia="Google Sans" w:hAnsi="Google Sans" w:cs="Google Sans"/>
            <w:color w:val="0000EE"/>
            <w:sz w:val="24"/>
            <w:szCs w:val="24"/>
            <w:u w:val="single"/>
            <w:lang w:val="es-ES"/>
          </w:rPr>
          <w:t>https://www.alcaldiabogota.gov.co/sisjur/normas/Norma1.jsp?i=62512</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Decreto 1077 de 2015 - Compilación Jurídica del ICBF, fecha de acceso: febrero 8, 2026, </w:t>
      </w:r>
      <w:hyperlink r:id="rId13">
        <w:r w:rsidRPr="00302B0F">
          <w:rPr>
            <w:rFonts w:ascii="Google Sans" w:eastAsia="Google Sans" w:hAnsi="Google Sans" w:cs="Google Sans"/>
            <w:color w:val="0000EE"/>
            <w:sz w:val="24"/>
            <w:szCs w:val="24"/>
            <w:u w:val="single"/>
            <w:lang w:val="es-ES"/>
          </w:rPr>
          <w:t>https://www.icbf.gov.co/cargues/avance/compilacion/docs/decreto_1077_20</w:t>
        </w:r>
        <w:r w:rsidRPr="00302B0F">
          <w:rPr>
            <w:rFonts w:ascii="Google Sans" w:eastAsia="Google Sans" w:hAnsi="Google Sans" w:cs="Google Sans"/>
            <w:color w:val="0000EE"/>
            <w:sz w:val="24"/>
            <w:szCs w:val="24"/>
            <w:u w:val="single"/>
            <w:lang w:val="es-ES"/>
          </w:rPr>
          <w:t>15.htm</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REPORTE TÉCNICO DE INDICADORES DE ESPACIO PÚBLICO, fecha de acceso: febrero 8, 2026, </w:t>
      </w:r>
      <w:hyperlink r:id="rId14">
        <w:r w:rsidRPr="00302B0F">
          <w:rPr>
            <w:rFonts w:ascii="Google Sans" w:eastAsia="Google Sans" w:hAnsi="Google Sans" w:cs="Google Sans"/>
            <w:color w:val="0000EE"/>
            <w:sz w:val="24"/>
            <w:szCs w:val="24"/>
            <w:u w:val="single"/>
            <w:lang w:val="es-ES"/>
          </w:rPr>
          <w:t>https://observatorio.d</w:t>
        </w:r>
        <w:r w:rsidRPr="00302B0F">
          <w:rPr>
            <w:rFonts w:ascii="Google Sans" w:eastAsia="Google Sans" w:hAnsi="Google Sans" w:cs="Google Sans"/>
            <w:color w:val="0000EE"/>
            <w:sz w:val="24"/>
            <w:szCs w:val="24"/>
            <w:u w:val="single"/>
            <w:lang w:val="es-ES"/>
          </w:rPr>
          <w:t>adep.gov.co/sites/default/files/2019/reporte_tecnico_de_indicadores_de_espacio_publico_2019_baja.pdf</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Conpes-3718-de-2012.pdf - Ministerio de Ambiente y Desarrollo Sostenible, fecha de acceso: febrero 8, 2026, </w:t>
      </w:r>
      <w:hyperlink r:id="rId15">
        <w:r w:rsidRPr="00302B0F">
          <w:rPr>
            <w:rFonts w:ascii="Google Sans" w:eastAsia="Google Sans" w:hAnsi="Google Sans" w:cs="Google Sans"/>
            <w:color w:val="0000EE"/>
            <w:sz w:val="24"/>
            <w:szCs w:val="24"/>
            <w:u w:val="single"/>
            <w:lang w:val="es-ES"/>
          </w:rPr>
          <w:t>https://www.minambiente.gov.co/wp-content/uploads/2021/10/Conpes-3718-de-2012.pdf</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Espacio público efectivo en Manizales y Medellín, Colombia: evaluación cuantitativa de su generación y distribución en d</w:t>
      </w:r>
      <w:r w:rsidRPr="00302B0F">
        <w:rPr>
          <w:rFonts w:ascii="Google Sans" w:eastAsia="Google Sans" w:hAnsi="Google Sans" w:cs="Google Sans"/>
          <w:sz w:val="24"/>
          <w:szCs w:val="24"/>
          <w:lang w:val="es-ES"/>
        </w:rPr>
        <w:t xml:space="preserve">os momentos normativos - </w:t>
      </w:r>
      <w:proofErr w:type="spellStart"/>
      <w:r w:rsidRPr="00302B0F">
        <w:rPr>
          <w:rFonts w:ascii="Google Sans" w:eastAsia="Google Sans" w:hAnsi="Google Sans" w:cs="Google Sans"/>
          <w:sz w:val="24"/>
          <w:szCs w:val="24"/>
          <w:lang w:val="es-ES"/>
        </w:rPr>
        <w:t>SciELO</w:t>
      </w:r>
      <w:proofErr w:type="spellEnd"/>
      <w:r w:rsidRPr="00302B0F">
        <w:rPr>
          <w:rFonts w:ascii="Google Sans" w:eastAsia="Google Sans" w:hAnsi="Google Sans" w:cs="Google Sans"/>
          <w:sz w:val="24"/>
          <w:szCs w:val="24"/>
          <w:lang w:val="es-ES"/>
        </w:rPr>
        <w:t xml:space="preserve">, fecha de acceso: febrero 8, 2026, </w:t>
      </w:r>
      <w:hyperlink r:id="rId16">
        <w:r w:rsidRPr="00302B0F">
          <w:rPr>
            <w:rFonts w:ascii="Google Sans" w:eastAsia="Google Sans" w:hAnsi="Google Sans" w:cs="Google Sans"/>
            <w:color w:val="0000EE"/>
            <w:sz w:val="24"/>
            <w:szCs w:val="24"/>
            <w:u w:val="single"/>
            <w:lang w:val="es-ES"/>
          </w:rPr>
          <w:t>https://www.scielo.br/j/urbe/a/LgnGSTvtGWQwgSVrKJsYy5z/?lang=es</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ORIENTACIONES PARA ANALIZAR EL PLAN DE DES</w:t>
      </w:r>
      <w:r w:rsidRPr="00302B0F">
        <w:rPr>
          <w:rFonts w:ascii="Google Sans" w:eastAsia="Google Sans" w:hAnsi="Google Sans" w:cs="Google Sans"/>
          <w:sz w:val="24"/>
          <w:szCs w:val="24"/>
          <w:lang w:val="es-ES"/>
        </w:rPr>
        <w:t xml:space="preserve">ARROLLO TERRITORIAL - Departamento Nacional de Planeación, fecha de acceso: febrero 8, 2026, </w:t>
      </w:r>
      <w:hyperlink r:id="rId17">
        <w:r w:rsidRPr="00302B0F">
          <w:rPr>
            <w:rFonts w:ascii="Google Sans" w:eastAsia="Google Sans" w:hAnsi="Google Sans" w:cs="Google Sans"/>
            <w:color w:val="0000EE"/>
            <w:sz w:val="24"/>
            <w:szCs w:val="24"/>
            <w:u w:val="single"/>
            <w:lang w:val="es-ES"/>
          </w:rPr>
          <w:t>https://colaboracion.dnp.gov.co/CDT/Desarrollo%20Territorial/Portal%20Territorial/RedePlan/Plan%20Desarrollo/Presentaci%C3%B3n%20Metodol%C3%B3gica%20para%20la%20Elaboraci%C3%B3n%20del%20PDM.pdf</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fecha de acc</w:t>
      </w:r>
      <w:r w:rsidRPr="00302B0F">
        <w:rPr>
          <w:rFonts w:ascii="Google Sans" w:eastAsia="Google Sans" w:hAnsi="Google Sans" w:cs="Google Sans"/>
          <w:sz w:val="24"/>
          <w:szCs w:val="24"/>
          <w:lang w:val="es-ES"/>
        </w:rPr>
        <w:t xml:space="preserve">eso: febrero 8, 2026, </w:t>
      </w:r>
      <w:hyperlink r:id="rId18" w:anchor=":~:text=Plan%20de%20Desarrollo.-,Ley%202294%20de%202023%2C%20por%20la%20cual%20se%20expide%20el,protecci%C3%B3n%20de%20la%20biodiversidad%2C%20la">
        <w:r w:rsidRPr="00302B0F">
          <w:rPr>
            <w:rFonts w:ascii="Google Sans" w:eastAsia="Google Sans" w:hAnsi="Google Sans" w:cs="Google Sans"/>
            <w:color w:val="0000EE"/>
            <w:sz w:val="24"/>
            <w:szCs w:val="24"/>
            <w:u w:val="single"/>
            <w:lang w:val="es-ES"/>
          </w:rPr>
          <w:t>https://www.anla.gov.co/eureka/normativa/leyes/ley-2294-de-2023-plan-nacional-de-desarrollo-pnd-2022-2026-colombia-potencia-mundial-de-la-vida-y-tema-ambiental#</w:t>
        </w:r>
        <w:r w:rsidRPr="00302B0F">
          <w:rPr>
            <w:rFonts w:ascii="Google Sans" w:eastAsia="Google Sans" w:hAnsi="Google Sans" w:cs="Google Sans"/>
            <w:color w:val="0000EE"/>
            <w:sz w:val="24"/>
            <w:szCs w:val="24"/>
            <w:u w:val="single"/>
            <w:lang w:val="es-ES"/>
          </w:rPr>
          <w:t>:~:text=Plan%20de%20Desarrollo.-,Ley%202294%20de%202023%2C%20por%20la%20cual%20se%20expide%20el,protecci%C3%B3n%20de%20la%20biodiversidad%2C%20la</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Leyes desde 1992 - Vigencia expresa y control de constitucionalidad [LEY_2294_2023] - Secretaría del Senado, f</w:t>
      </w:r>
      <w:r w:rsidRPr="00302B0F">
        <w:rPr>
          <w:rFonts w:ascii="Google Sans" w:eastAsia="Google Sans" w:hAnsi="Google Sans" w:cs="Google Sans"/>
          <w:sz w:val="24"/>
          <w:szCs w:val="24"/>
          <w:lang w:val="es-ES"/>
        </w:rPr>
        <w:t xml:space="preserve">echa de acceso: febrero 8, 2026, </w:t>
      </w:r>
      <w:hyperlink r:id="rId19">
        <w:r w:rsidRPr="00302B0F">
          <w:rPr>
            <w:rFonts w:ascii="Google Sans" w:eastAsia="Google Sans" w:hAnsi="Google Sans" w:cs="Google Sans"/>
            <w:color w:val="0000EE"/>
            <w:sz w:val="24"/>
            <w:szCs w:val="24"/>
            <w:u w:val="single"/>
            <w:lang w:val="es-ES"/>
          </w:rPr>
          <w:t>http://www.secretariasenado.gov.co/senado/basedoc/ley_2294_2023.html</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MINISTERIO DE VIVIENDA, CIUDAD Y TERRITORIO DECRETO NÚMERO DE 2021</w:t>
      </w:r>
      <w:r w:rsidRPr="00302B0F">
        <w:rPr>
          <w:rFonts w:ascii="Google Sans" w:eastAsia="Google Sans" w:hAnsi="Google Sans" w:cs="Google Sans"/>
          <w:sz w:val="24"/>
          <w:szCs w:val="24"/>
          <w:lang w:val="es-ES"/>
        </w:rPr>
        <w:t xml:space="preserve"> "Por medio del cual se modifica el Decreto 1077 d, fecha de acceso: febrero 8, 2026, </w:t>
      </w:r>
      <w:hyperlink r:id="rId20">
        <w:r w:rsidRPr="00302B0F">
          <w:rPr>
            <w:rFonts w:ascii="Google Sans" w:eastAsia="Google Sans" w:hAnsi="Google Sans" w:cs="Google Sans"/>
            <w:color w:val="0000EE"/>
            <w:sz w:val="24"/>
            <w:szCs w:val="24"/>
            <w:u w:val="single"/>
            <w:lang w:val="es-ES"/>
          </w:rPr>
          <w:t>https://www.minvivienda.gov.co/system/files/consultasp/p</w:t>
        </w:r>
        <w:r w:rsidRPr="00302B0F">
          <w:rPr>
            <w:rFonts w:ascii="Google Sans" w:eastAsia="Google Sans" w:hAnsi="Google Sans" w:cs="Google Sans"/>
            <w:color w:val="0000EE"/>
            <w:sz w:val="24"/>
            <w:szCs w:val="24"/>
            <w:u w:val="single"/>
            <w:lang w:val="es-ES"/>
          </w:rPr>
          <w:t>royecto-de-decreto-espacio-publico.pdf</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Ley 2294 de 2023 - Gestor Normativo - Función Pública, fecha de acceso: febrero 8, 2026, </w:t>
      </w:r>
      <w:hyperlink r:id="rId21">
        <w:r w:rsidRPr="00302B0F">
          <w:rPr>
            <w:rFonts w:ascii="Google Sans" w:eastAsia="Google Sans" w:hAnsi="Google Sans" w:cs="Google Sans"/>
            <w:color w:val="0000EE"/>
            <w:sz w:val="24"/>
            <w:szCs w:val="24"/>
            <w:u w:val="single"/>
            <w:lang w:val="es-ES"/>
          </w:rPr>
          <w:t>https://www.funcionpublica.gov.co/ev</w:t>
        </w:r>
        <w:r w:rsidRPr="00302B0F">
          <w:rPr>
            <w:rFonts w:ascii="Google Sans" w:eastAsia="Google Sans" w:hAnsi="Google Sans" w:cs="Google Sans"/>
            <w:color w:val="0000EE"/>
            <w:sz w:val="24"/>
            <w:szCs w:val="24"/>
            <w:u w:val="single"/>
            <w:lang w:val="es-ES"/>
          </w:rPr>
          <w:t>a/gestornormativo/norma.php?i=209510</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Ley 2294 de 2023 Congreso de la República de Colombia - Secretaría General de </w:t>
      </w:r>
      <w:r w:rsidRPr="00302B0F">
        <w:rPr>
          <w:rFonts w:ascii="Google Sans" w:eastAsia="Google Sans" w:hAnsi="Google Sans" w:cs="Google Sans"/>
          <w:sz w:val="24"/>
          <w:szCs w:val="24"/>
          <w:lang w:val="es-ES"/>
        </w:rPr>
        <w:lastRenderedPageBreak/>
        <w:t xml:space="preserve">la Alcaldía Mayor de Bogotá, fecha de acceso: febrero 8, 2026, </w:t>
      </w:r>
      <w:hyperlink r:id="rId22">
        <w:r w:rsidRPr="00302B0F">
          <w:rPr>
            <w:rFonts w:ascii="Google Sans" w:eastAsia="Google Sans" w:hAnsi="Google Sans" w:cs="Google Sans"/>
            <w:color w:val="0000EE"/>
            <w:sz w:val="24"/>
            <w:szCs w:val="24"/>
            <w:u w:val="single"/>
            <w:lang w:val="es-ES"/>
          </w:rPr>
          <w:t>https://www.alcaldiabogota.gov.co/sisjur/normas/Norma1.jsp?i=142257</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Orientaciones de Ordenamiento Territorial para formulación de los Planes de Desarrollo Territoriales - Departamento Nacional de Planeación, fecha de acceso: febrero 8, 2026, </w:t>
      </w:r>
      <w:hyperlink r:id="rId23">
        <w:r w:rsidRPr="00302B0F">
          <w:rPr>
            <w:rFonts w:ascii="Google Sans" w:eastAsia="Google Sans" w:hAnsi="Google Sans" w:cs="Google Sans"/>
            <w:color w:val="0000EE"/>
            <w:sz w:val="24"/>
            <w:szCs w:val="24"/>
            <w:u w:val="single"/>
            <w:lang w:val="es-ES"/>
          </w:rPr>
          <w:t>https://colaboracion.dnp.gov.co/CDT/Desarrollo%20Territorial/SisPTOrientaciones/Orientaciones%20-%20Ordenamient</w:t>
        </w:r>
        <w:r w:rsidRPr="00302B0F">
          <w:rPr>
            <w:rFonts w:ascii="Google Sans" w:eastAsia="Google Sans" w:hAnsi="Google Sans" w:cs="Google Sans"/>
            <w:color w:val="0000EE"/>
            <w:sz w:val="24"/>
            <w:szCs w:val="24"/>
            <w:u w:val="single"/>
            <w:lang w:val="es-ES"/>
          </w:rPr>
          <w:t>o%20Territorial.pdf</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PROYECTO DE LEY ____: “POR EL CUAL SE EXPIDE EL PLAN NACIONAL DE DESARROLLO 2022-2026 'COLOMBIA POTENCIA MUNDIAL DE LA VIDA - Senado, fecha de acceso: febrero 8, 2026, </w:t>
      </w:r>
      <w:hyperlink r:id="rId24">
        <w:r w:rsidRPr="00302B0F">
          <w:rPr>
            <w:rFonts w:ascii="Google Sans" w:eastAsia="Google Sans" w:hAnsi="Google Sans" w:cs="Google Sans"/>
            <w:color w:val="0000EE"/>
            <w:sz w:val="24"/>
            <w:szCs w:val="24"/>
            <w:u w:val="single"/>
            <w:lang w:val="es-ES"/>
          </w:rPr>
          <w:t>https://www.senado.gov.co/index.php/documentos/senado-prensa/6892-proyecto-de-ley-pnd-2022-2026-articulado/file</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Plan Integral de Seguridad y Convivencia Ciudadana 2024-2027 “Con Mas Seguridad- </w:t>
      </w:r>
      <w:r w:rsidRPr="00302B0F">
        <w:rPr>
          <w:rFonts w:ascii="Google Sans" w:eastAsia="Google Sans" w:hAnsi="Google Sans" w:cs="Google Sans"/>
          <w:sz w:val="24"/>
          <w:szCs w:val="24"/>
          <w:lang w:val="es-ES"/>
        </w:rPr>
        <w:t xml:space="preserve">Mas Oportunidad” Alcaldía de Armenia </w:t>
      </w:r>
      <w:proofErr w:type="spellStart"/>
      <w:r w:rsidRPr="00302B0F">
        <w:rPr>
          <w:rFonts w:ascii="Google Sans" w:eastAsia="Google Sans" w:hAnsi="Google Sans" w:cs="Google Sans"/>
          <w:sz w:val="24"/>
          <w:szCs w:val="24"/>
          <w:lang w:val="es-ES"/>
        </w:rPr>
        <w:t>Secre</w:t>
      </w:r>
      <w:proofErr w:type="spellEnd"/>
      <w:r w:rsidRPr="00302B0F">
        <w:rPr>
          <w:rFonts w:ascii="Google Sans" w:eastAsia="Google Sans" w:hAnsi="Google Sans" w:cs="Google Sans"/>
          <w:sz w:val="24"/>
          <w:szCs w:val="24"/>
          <w:lang w:val="es-ES"/>
        </w:rPr>
        <w:t xml:space="preserve"> - </w:t>
      </w:r>
      <w:proofErr w:type="spellStart"/>
      <w:r w:rsidRPr="00302B0F">
        <w:rPr>
          <w:rFonts w:ascii="Google Sans" w:eastAsia="Google Sans" w:hAnsi="Google Sans" w:cs="Google Sans"/>
          <w:sz w:val="24"/>
          <w:szCs w:val="24"/>
          <w:lang w:val="es-ES"/>
        </w:rPr>
        <w:t>Asocapitales</w:t>
      </w:r>
      <w:proofErr w:type="spellEnd"/>
      <w:r w:rsidRPr="00302B0F">
        <w:rPr>
          <w:rFonts w:ascii="Google Sans" w:eastAsia="Google Sans" w:hAnsi="Google Sans" w:cs="Google Sans"/>
          <w:sz w:val="24"/>
          <w:szCs w:val="24"/>
          <w:lang w:val="es-ES"/>
        </w:rPr>
        <w:t xml:space="preserve">, fecha de acceso: febrero 8, 2026, </w:t>
      </w:r>
      <w:hyperlink r:id="rId25">
        <w:r w:rsidRPr="00302B0F">
          <w:rPr>
            <w:rFonts w:ascii="Google Sans" w:eastAsia="Google Sans" w:hAnsi="Google Sans" w:cs="Google Sans"/>
            <w:color w:val="0000EE"/>
            <w:sz w:val="24"/>
            <w:szCs w:val="24"/>
            <w:u w:val="single"/>
            <w:lang w:val="es-ES"/>
          </w:rPr>
          <w:t>https://www.asocapitales.co/wp-content/uploads/2025/01/PISCC-</w:t>
        </w:r>
        <w:r w:rsidRPr="00302B0F">
          <w:rPr>
            <w:rFonts w:ascii="Google Sans" w:eastAsia="Google Sans" w:hAnsi="Google Sans" w:cs="Google Sans"/>
            <w:color w:val="0000EE"/>
            <w:sz w:val="24"/>
            <w:szCs w:val="24"/>
            <w:u w:val="single"/>
            <w:lang w:val="es-ES"/>
          </w:rPr>
          <w:t>Armenia-2024-2027.pdf</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LINEAMIENTOS DE INFRAESTRUCTURA PARA medios NO MOTORIZADOS EN pasos urbanos - Ministerio de Transporte, fecha de acceso: febrero 8, 2026, </w:t>
      </w:r>
      <w:hyperlink r:id="rId26">
        <w:r w:rsidRPr="00302B0F">
          <w:rPr>
            <w:rFonts w:ascii="Google Sans" w:eastAsia="Google Sans" w:hAnsi="Google Sans" w:cs="Google Sans"/>
            <w:color w:val="0000EE"/>
            <w:sz w:val="24"/>
            <w:szCs w:val="24"/>
            <w:u w:val="single"/>
            <w:lang w:val="es-ES"/>
          </w:rPr>
          <w:t>https://mintransporte.gov.co/loader.php?lServicio=Tools2&amp;lTipo=descargas&amp;lFuncion=descargar&amp;idFile=34069</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Actualización Manual de Espac</w:t>
      </w:r>
      <w:r w:rsidRPr="00302B0F">
        <w:rPr>
          <w:rFonts w:ascii="Google Sans" w:eastAsia="Google Sans" w:hAnsi="Google Sans" w:cs="Google Sans"/>
          <w:sz w:val="24"/>
          <w:szCs w:val="24"/>
          <w:lang w:val="es-ES"/>
        </w:rPr>
        <w:t xml:space="preserve">io Público - Alcaldía de Bucaramanga - 2025, fecha de acceso: febrero 8, 2026, </w:t>
      </w:r>
      <w:hyperlink r:id="rId27">
        <w:r w:rsidRPr="00302B0F">
          <w:rPr>
            <w:rFonts w:ascii="Google Sans" w:eastAsia="Google Sans" w:hAnsi="Google Sans" w:cs="Google Sans"/>
            <w:color w:val="0000EE"/>
            <w:sz w:val="24"/>
            <w:szCs w:val="24"/>
            <w:u w:val="single"/>
            <w:lang w:val="es-ES"/>
          </w:rPr>
          <w:t>https://www.bucaramanga.gov.co/wp-content/uploads/2025/08</w:t>
        </w:r>
        <w:r w:rsidRPr="00302B0F">
          <w:rPr>
            <w:rFonts w:ascii="Google Sans" w:eastAsia="Google Sans" w:hAnsi="Google Sans" w:cs="Google Sans"/>
            <w:color w:val="0000EE"/>
            <w:sz w:val="24"/>
            <w:szCs w:val="24"/>
            <w:u w:val="single"/>
            <w:lang w:val="es-ES"/>
          </w:rPr>
          <w:t>/Diag_Actualiz_Manual_Esp-Publico_-2025.pdf</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Manual de Accesibilidad Universal | </w:t>
      </w:r>
      <w:proofErr w:type="spellStart"/>
      <w:r w:rsidRPr="00302B0F">
        <w:rPr>
          <w:rFonts w:ascii="Google Sans" w:eastAsia="Google Sans" w:hAnsi="Google Sans" w:cs="Google Sans"/>
          <w:sz w:val="24"/>
          <w:szCs w:val="24"/>
          <w:lang w:val="es-ES"/>
        </w:rPr>
        <w:t>Gob</w:t>
      </w:r>
      <w:proofErr w:type="spellEnd"/>
      <w:r w:rsidRPr="00302B0F">
        <w:rPr>
          <w:rFonts w:ascii="Google Sans" w:eastAsia="Google Sans" w:hAnsi="Google Sans" w:cs="Google Sans"/>
          <w:sz w:val="24"/>
          <w:szCs w:val="24"/>
          <w:lang w:val="es-ES"/>
        </w:rPr>
        <w:t xml:space="preserve"> MX, fecha de acceso: febrero 8, 2026, </w:t>
      </w:r>
      <w:hyperlink r:id="rId28">
        <w:r w:rsidRPr="00302B0F">
          <w:rPr>
            <w:rFonts w:ascii="Google Sans" w:eastAsia="Google Sans" w:hAnsi="Google Sans" w:cs="Google Sans"/>
            <w:color w:val="0000EE"/>
            <w:sz w:val="24"/>
            <w:szCs w:val="24"/>
            <w:u w:val="single"/>
            <w:lang w:val="es-ES"/>
          </w:rPr>
          <w:t>https://www.gob.mx/cms/up</w:t>
        </w:r>
        <w:r w:rsidRPr="00302B0F">
          <w:rPr>
            <w:rFonts w:ascii="Google Sans" w:eastAsia="Google Sans" w:hAnsi="Google Sans" w:cs="Google Sans"/>
            <w:color w:val="0000EE"/>
            <w:sz w:val="24"/>
            <w:szCs w:val="24"/>
            <w:u w:val="single"/>
            <w:lang w:val="es-ES"/>
          </w:rPr>
          <w:t>loads/attachment/file/359190/manual_accesibilidad_universal1.pdf</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plan de ordenamiento territorial de armenia componente urbano departamento administrativo de planeación y evaluación - Repositorio CDIM, fecha de acceso: febrero 8, 2026, </w:t>
      </w:r>
      <w:hyperlink r:id="rId29">
        <w:r w:rsidRPr="00302B0F">
          <w:rPr>
            <w:rFonts w:ascii="Google Sans" w:eastAsia="Google Sans" w:hAnsi="Google Sans" w:cs="Google Sans"/>
            <w:color w:val="0000EE"/>
            <w:sz w:val="24"/>
            <w:szCs w:val="24"/>
            <w:u w:val="single"/>
            <w:lang w:val="es-ES"/>
          </w:rPr>
          <w:t>https://repositoriocdim.esap.edu.co/bitstreams/b5ed4e43-e4f0-48d3-ad4a-5d2226e5f93f/download</w:t>
        </w:r>
      </w:hyperlink>
    </w:p>
    <w:p w:rsidR="000B46E3" w:rsidRPr="00302B0F" w:rsidRDefault="007A2CC0">
      <w:pPr>
        <w:numPr>
          <w:ilvl w:val="0"/>
          <w:numId w:val="2"/>
        </w:numPr>
        <w:pBdr>
          <w:top w:val="nil"/>
          <w:left w:val="nil"/>
          <w:bottom w:val="nil"/>
          <w:right w:val="nil"/>
          <w:between w:val="nil"/>
        </w:pBdr>
        <w:rPr>
          <w:lang w:val="es-ES"/>
        </w:rPr>
      </w:pPr>
      <w:proofErr w:type="spellStart"/>
      <w:r w:rsidRPr="00302B0F">
        <w:rPr>
          <w:rFonts w:ascii="Google Sans" w:eastAsia="Google Sans" w:hAnsi="Google Sans" w:cs="Google Sans"/>
          <w:sz w:val="24"/>
          <w:szCs w:val="24"/>
          <w:lang w:val="es-ES"/>
        </w:rPr>
        <w:t>e</w:t>
      </w:r>
      <w:proofErr w:type="spellEnd"/>
      <w:r w:rsidRPr="00302B0F">
        <w:rPr>
          <w:rFonts w:ascii="Google Sans" w:eastAsia="Google Sans" w:hAnsi="Google Sans" w:cs="Google Sans"/>
          <w:sz w:val="24"/>
          <w:szCs w:val="24"/>
          <w:lang w:val="es-ES"/>
        </w:rPr>
        <w:t xml:space="preserve"> Desarrollo Territorial y Urbano “LEY 388 DE 1997”, </w:t>
      </w:r>
      <w:r w:rsidRPr="00302B0F">
        <w:rPr>
          <w:rFonts w:ascii="Google Sans" w:eastAsia="Google Sans" w:hAnsi="Google Sans" w:cs="Google Sans"/>
          <w:sz w:val="24"/>
          <w:szCs w:val="24"/>
          <w:lang w:val="es-ES"/>
        </w:rPr>
        <w:t xml:space="preserve">fecha de acceso: febrero 8, 2026, </w:t>
      </w:r>
      <w:hyperlink r:id="rId30">
        <w:r w:rsidRPr="00302B0F">
          <w:rPr>
            <w:rFonts w:ascii="Google Sans" w:eastAsia="Google Sans" w:hAnsi="Google Sans" w:cs="Google Sans"/>
            <w:color w:val="0000EE"/>
            <w:sz w:val="24"/>
            <w:szCs w:val="24"/>
            <w:u w:val="single"/>
            <w:lang w:val="es-ES"/>
          </w:rPr>
          <w:t>https://www.minenergia.gov.co/documents/4242/22687-Ley_388_de_1997.pdf</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Decreto Reglamentario 1077 de 2015 – Decreto Único Reglamenta</w:t>
      </w:r>
      <w:r w:rsidRPr="00302B0F">
        <w:rPr>
          <w:rFonts w:ascii="Google Sans" w:eastAsia="Google Sans" w:hAnsi="Google Sans" w:cs="Google Sans"/>
          <w:sz w:val="24"/>
          <w:szCs w:val="24"/>
          <w:lang w:val="es-ES"/>
        </w:rPr>
        <w:t xml:space="preserve">rio del Sector Vivienda, Ciudad y Territorio y Temas Ambientales - ANLA, fecha de acceso: febrero 8, 2026, </w:t>
      </w:r>
      <w:hyperlink r:id="rId31">
        <w:r w:rsidRPr="00302B0F">
          <w:rPr>
            <w:rFonts w:ascii="Google Sans" w:eastAsia="Google Sans" w:hAnsi="Google Sans" w:cs="Google Sans"/>
            <w:color w:val="0000EE"/>
            <w:sz w:val="24"/>
            <w:szCs w:val="24"/>
            <w:u w:val="single"/>
            <w:lang w:val="es-ES"/>
          </w:rPr>
          <w:t>https://www.anla.gov.co/eureka/normativa/decretos/decreto-reglamentario-1077-de-2015-decreto-unico-reglamentario-del-sector-vivienda-ciudad-y-territorio-y-temas-ambientales</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l. Ordenamiento del territorio alrededor</w:t>
      </w:r>
      <w:r w:rsidRPr="00302B0F">
        <w:rPr>
          <w:rFonts w:ascii="Google Sans" w:eastAsia="Google Sans" w:hAnsi="Google Sans" w:cs="Google Sans"/>
          <w:sz w:val="24"/>
          <w:szCs w:val="24"/>
          <w:lang w:val="es-ES"/>
        </w:rPr>
        <w:t xml:space="preserve"> del agua y justicia ambiental, fecha de acceso: febrero 8, 2026, </w:t>
      </w:r>
      <w:hyperlink r:id="rId32">
        <w:r w:rsidRPr="00302B0F">
          <w:rPr>
            <w:rFonts w:ascii="Google Sans" w:eastAsia="Google Sans" w:hAnsi="Google Sans" w:cs="Google Sans"/>
            <w:color w:val="0000EE"/>
            <w:sz w:val="24"/>
            <w:szCs w:val="24"/>
            <w:u w:val="single"/>
            <w:lang w:val="es-ES"/>
          </w:rPr>
          <w:t>https://sisjur.bogotaju</w:t>
        </w:r>
        <w:r w:rsidRPr="00302B0F">
          <w:rPr>
            <w:rFonts w:ascii="Google Sans" w:eastAsia="Google Sans" w:hAnsi="Google Sans" w:cs="Google Sans"/>
            <w:color w:val="0000EE"/>
            <w:sz w:val="24"/>
            <w:szCs w:val="24"/>
            <w:u w:val="single"/>
            <w:lang w:val="es-ES"/>
          </w:rPr>
          <w:t>ridica.gov.co/sisjur/adminverblobawa?tabla=T_NORMA_ARCHIVO&amp;p_NORMFIL_ID=39906&amp;f_NORMFIL_FILE=X&amp;inputfileext=NORMFIL_FILENAME</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lastRenderedPageBreak/>
        <w:t xml:space="preserve">Reflexión sobre los planes de desarrollo en Colombia - Redalyc.org, fecha de acceso: febrero 8, 2026, </w:t>
      </w:r>
      <w:hyperlink r:id="rId33">
        <w:r w:rsidRPr="00302B0F">
          <w:rPr>
            <w:rFonts w:ascii="Google Sans" w:eastAsia="Google Sans" w:hAnsi="Google Sans" w:cs="Google Sans"/>
            <w:color w:val="0000EE"/>
            <w:sz w:val="24"/>
            <w:szCs w:val="24"/>
            <w:u w:val="single"/>
            <w:lang w:val="es-ES"/>
          </w:rPr>
          <w:t>https://www.redalyc.org/journal/748/74864040018/html/</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Planes de Desarrollo Municipales 2024-2027 - </w:t>
      </w:r>
      <w:proofErr w:type="spellStart"/>
      <w:r w:rsidRPr="00302B0F">
        <w:rPr>
          <w:rFonts w:ascii="Google Sans" w:eastAsia="Google Sans" w:hAnsi="Google Sans" w:cs="Google Sans"/>
          <w:sz w:val="24"/>
          <w:szCs w:val="24"/>
          <w:lang w:val="es-ES"/>
        </w:rPr>
        <w:t>ArcGIS</w:t>
      </w:r>
      <w:proofErr w:type="spellEnd"/>
      <w:r w:rsidRPr="00302B0F">
        <w:rPr>
          <w:rFonts w:ascii="Google Sans" w:eastAsia="Google Sans" w:hAnsi="Google Sans" w:cs="Google Sans"/>
          <w:sz w:val="24"/>
          <w:szCs w:val="24"/>
          <w:lang w:val="es-ES"/>
        </w:rPr>
        <w:t xml:space="preserve"> </w:t>
      </w:r>
      <w:proofErr w:type="spellStart"/>
      <w:r w:rsidRPr="00302B0F">
        <w:rPr>
          <w:rFonts w:ascii="Google Sans" w:eastAsia="Google Sans" w:hAnsi="Google Sans" w:cs="Google Sans"/>
          <w:sz w:val="24"/>
          <w:szCs w:val="24"/>
          <w:lang w:val="es-ES"/>
        </w:rPr>
        <w:t>StoryMaps</w:t>
      </w:r>
      <w:proofErr w:type="spellEnd"/>
      <w:r w:rsidRPr="00302B0F">
        <w:rPr>
          <w:rFonts w:ascii="Google Sans" w:eastAsia="Google Sans" w:hAnsi="Google Sans" w:cs="Google Sans"/>
          <w:sz w:val="24"/>
          <w:szCs w:val="24"/>
          <w:lang w:val="es-ES"/>
        </w:rPr>
        <w:t xml:space="preserve">, fecha de acceso: febrero 8, 2026, </w:t>
      </w:r>
      <w:hyperlink r:id="rId34">
        <w:r w:rsidRPr="00302B0F">
          <w:rPr>
            <w:rFonts w:ascii="Google Sans" w:eastAsia="Google Sans" w:hAnsi="Google Sans" w:cs="Google Sans"/>
            <w:color w:val="0000EE"/>
            <w:sz w:val="24"/>
            <w:szCs w:val="24"/>
            <w:u w:val="single"/>
            <w:lang w:val="es-ES"/>
          </w:rPr>
          <w:t>https://storymaps.arcgis.com/stories/f7aa8713e8cb4e1a99d0889800e0df78</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“Datos prácticos para la construcción de Planes de Desarrollo Territorial” - YouTube, fecha de acceso: febrero 8, 2026, </w:t>
      </w:r>
      <w:hyperlink r:id="rId35">
        <w:r w:rsidRPr="00302B0F">
          <w:rPr>
            <w:rFonts w:ascii="Google Sans" w:eastAsia="Google Sans" w:hAnsi="Google Sans" w:cs="Google Sans"/>
            <w:color w:val="0000EE"/>
            <w:sz w:val="24"/>
            <w:szCs w:val="24"/>
            <w:u w:val="single"/>
            <w:lang w:val="es-ES"/>
          </w:rPr>
          <w:t>https://www.youtube.com/watch?v=AyGWYgYTU8U</w:t>
        </w:r>
      </w:hyperlink>
    </w:p>
    <w:p w:rsidR="000B46E3" w:rsidRPr="00302B0F" w:rsidRDefault="007A2CC0">
      <w:pPr>
        <w:numPr>
          <w:ilvl w:val="0"/>
          <w:numId w:val="2"/>
        </w:numPr>
        <w:pBdr>
          <w:top w:val="nil"/>
          <w:left w:val="nil"/>
          <w:bottom w:val="nil"/>
          <w:right w:val="nil"/>
          <w:between w:val="nil"/>
        </w:pBdr>
        <w:rPr>
          <w:lang w:val="es-ES"/>
        </w:rPr>
      </w:pPr>
      <w:r w:rsidRPr="00302B0F">
        <w:rPr>
          <w:rFonts w:ascii="Google Sans" w:eastAsia="Google Sans" w:hAnsi="Google Sans" w:cs="Google Sans"/>
          <w:sz w:val="24"/>
          <w:szCs w:val="24"/>
          <w:lang w:val="es-ES"/>
        </w:rPr>
        <w:t xml:space="preserve">ESPACIO PÚBLICO Y LEGISLACIÓN Discursos de base en la transformación de ciudades en Colombia - </w:t>
      </w:r>
      <w:proofErr w:type="spellStart"/>
      <w:r w:rsidRPr="00302B0F">
        <w:rPr>
          <w:rFonts w:ascii="Google Sans" w:eastAsia="Google Sans" w:hAnsi="Google Sans" w:cs="Google Sans"/>
          <w:sz w:val="24"/>
          <w:szCs w:val="24"/>
          <w:lang w:val="es-ES"/>
        </w:rPr>
        <w:t>UPCommons</w:t>
      </w:r>
      <w:proofErr w:type="spellEnd"/>
      <w:r w:rsidRPr="00302B0F">
        <w:rPr>
          <w:rFonts w:ascii="Google Sans" w:eastAsia="Google Sans" w:hAnsi="Google Sans" w:cs="Google Sans"/>
          <w:sz w:val="24"/>
          <w:szCs w:val="24"/>
          <w:lang w:val="es-ES"/>
        </w:rPr>
        <w:t xml:space="preserve">, fecha de acceso: febrero 8, 2026, </w:t>
      </w:r>
      <w:hyperlink r:id="rId36">
        <w:r w:rsidRPr="00302B0F">
          <w:rPr>
            <w:rFonts w:ascii="Google Sans" w:eastAsia="Google Sans" w:hAnsi="Google Sans" w:cs="Google Sans"/>
            <w:color w:val="0000EE"/>
            <w:sz w:val="24"/>
            <w:szCs w:val="24"/>
            <w:u w:val="single"/>
            <w:lang w:val="es-ES"/>
          </w:rPr>
          <w:t>https://upcommons.upc.edu/bitstreams/f6ac0fec-6d43-4d76-9c4c-5484be6af9db/download</w:t>
        </w:r>
      </w:hyperlink>
    </w:p>
    <w:sectPr w:rsidR="000B46E3" w:rsidRPr="00302B0F">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1" w:fontKey="{D825C0D4-ECB1-487E-8FC9-B5ACCB21D536}"/>
  </w:font>
  <w:font w:name="Google Sans">
    <w:charset w:val="00"/>
    <w:family w:val="auto"/>
    <w:pitch w:val="default"/>
    <w:embedRegular r:id="rId2" w:fontKey="{1BD77859-D438-483F-B1AF-9D54C999566F}"/>
    <w:embedBold r:id="rId3" w:fontKey="{9250BBDF-07BA-4360-9DC4-73F537130824}"/>
  </w:font>
  <w:font w:name="Google Sans Text">
    <w:charset w:val="00"/>
    <w:family w:val="auto"/>
    <w:pitch w:val="default"/>
    <w:embedRegular r:id="rId4" w:fontKey="{A11BD54A-14C5-4CF8-8A7B-E858550B52D0}"/>
    <w:embedBold r:id="rId5" w:fontKey="{70CC18F0-2ADF-4E69-8EA6-B028E94972EA}"/>
  </w:font>
  <w:font w:name="Calibri">
    <w:panose1 w:val="020F0502020204030204"/>
    <w:charset w:val="00"/>
    <w:family w:val="swiss"/>
    <w:pitch w:val="variable"/>
    <w:sig w:usb0="E4002EFF" w:usb1="C000247B" w:usb2="00000009" w:usb3="00000000" w:csb0="000001FF" w:csb1="00000000"/>
    <w:embedRegular r:id="rId6" w:fontKey="{091F5D04-4D69-44DA-9DBD-52EAA0F7C10F}"/>
  </w:font>
  <w:font w:name="Cambria">
    <w:panose1 w:val="02040503050406030204"/>
    <w:charset w:val="00"/>
    <w:family w:val="roman"/>
    <w:pitch w:val="variable"/>
    <w:sig w:usb0="E00006FF" w:usb1="420024FF" w:usb2="02000000" w:usb3="00000000" w:csb0="0000019F" w:csb1="00000000"/>
    <w:embedRegular r:id="rId7" w:fontKey="{B0C65655-5607-4D69-BE0C-7045C633D4A5}"/>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CE5456"/>
    <w:multiLevelType w:val="multilevel"/>
    <w:tmpl w:val="3CD2D5B2"/>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15:restartNumberingAfterBreak="0">
    <w:nsid w:val="63D76E23"/>
    <w:multiLevelType w:val="multilevel"/>
    <w:tmpl w:val="FAB6E16A"/>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46E3"/>
    <w:rsid w:val="000B46E3"/>
    <w:rsid w:val="00302B0F"/>
    <w:rsid w:val="00347AA7"/>
    <w:rsid w:val="007A2C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17B1694-0BAC-453F-A452-E9DD1F884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pBdr>
        <w:top w:val="nil"/>
        <w:left w:val="nil"/>
        <w:bottom w:val="nil"/>
        <w:right w:val="nil"/>
        <w:between w:val="nil"/>
      </w:pBdr>
      <w:spacing w:before="240" w:after="240"/>
      <w:outlineLvl w:val="0"/>
    </w:pPr>
    <w:rPr>
      <w:b/>
      <w:bCs/>
      <w:sz w:val="48"/>
      <w:szCs w:val="48"/>
    </w:rPr>
  </w:style>
  <w:style w:type="paragraph" w:styleId="Ttulo2">
    <w:name w:val="heading 2"/>
    <w:basedOn w:val="Normal"/>
    <w:next w:val="Normal"/>
    <w:pPr>
      <w:pBdr>
        <w:top w:val="nil"/>
        <w:left w:val="nil"/>
        <w:bottom w:val="nil"/>
        <w:right w:val="nil"/>
        <w:between w:val="nil"/>
      </w:pBdr>
      <w:spacing w:before="225" w:after="225"/>
      <w:outlineLvl w:val="1"/>
    </w:pPr>
    <w:rPr>
      <w:b/>
      <w:bCs/>
      <w:sz w:val="36"/>
      <w:szCs w:val="36"/>
    </w:rPr>
  </w:style>
  <w:style w:type="paragraph" w:styleId="Ttulo3">
    <w:name w:val="heading 3"/>
    <w:basedOn w:val="Normal"/>
    <w:next w:val="Normal"/>
    <w:pPr>
      <w:pBdr>
        <w:top w:val="nil"/>
        <w:left w:val="nil"/>
        <w:bottom w:val="nil"/>
        <w:right w:val="nil"/>
        <w:between w:val="nil"/>
      </w:pBdr>
      <w:spacing w:before="240" w:after="240"/>
      <w:outlineLvl w:val="2"/>
    </w:pPr>
    <w:rPr>
      <w:b/>
      <w:bCs/>
      <w:sz w:val="28"/>
      <w:szCs w:val="28"/>
    </w:rPr>
  </w:style>
  <w:style w:type="paragraph" w:styleId="Ttulo4">
    <w:name w:val="heading 4"/>
    <w:basedOn w:val="Normal"/>
    <w:next w:val="Normal"/>
    <w:pPr>
      <w:pBdr>
        <w:top w:val="nil"/>
        <w:left w:val="nil"/>
        <w:bottom w:val="nil"/>
        <w:right w:val="nil"/>
        <w:between w:val="nil"/>
      </w:pBdr>
      <w:spacing w:before="255" w:after="255"/>
      <w:outlineLvl w:val="3"/>
    </w:pPr>
    <w:rPr>
      <w:b/>
      <w:bCs/>
      <w:sz w:val="24"/>
      <w:szCs w:val="24"/>
    </w:rPr>
  </w:style>
  <w:style w:type="paragraph" w:styleId="Ttulo5">
    <w:name w:val="heading 5"/>
    <w:basedOn w:val="Normal"/>
    <w:next w:val="Normal"/>
    <w:pPr>
      <w:pBdr>
        <w:top w:val="nil"/>
        <w:left w:val="nil"/>
        <w:bottom w:val="nil"/>
        <w:right w:val="nil"/>
        <w:between w:val="nil"/>
      </w:pBdr>
      <w:spacing w:before="255" w:after="255"/>
      <w:outlineLvl w:val="4"/>
    </w:pPr>
    <w:rPr>
      <w:b/>
      <w:bCs/>
      <w:sz w:val="18"/>
      <w:szCs w:val="18"/>
    </w:rPr>
  </w:style>
  <w:style w:type="paragraph" w:styleId="Ttulo6">
    <w:name w:val="heading 6"/>
    <w:basedOn w:val="Normal"/>
    <w:next w:val="Normal"/>
    <w:pPr>
      <w:pBdr>
        <w:top w:val="nil"/>
        <w:left w:val="nil"/>
        <w:bottom w:val="nil"/>
        <w:right w:val="nil"/>
        <w:between w:val="nil"/>
      </w:pBdr>
      <w:spacing w:before="360" w:after="360"/>
      <w:outlineLvl w:val="5"/>
    </w:pPr>
    <w:rPr>
      <w:b/>
      <w:bCs/>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www.icbf.gov.co/cargues/avance/compilacion/docs/decreto_1077_2015.htm" TargetMode="External"/><Relationship Id="rId18" Type="http://schemas.openxmlformats.org/officeDocument/2006/relationships/hyperlink" Target="https://www.anla.gov.co/eureka/normativa/leyes/ley-2294-de-2023-plan-nacional-de-desarrollo-pnd-2022-2026-colombia-potencia-mundial-de-la-vida-y-tema-ambiental" TargetMode="External"/><Relationship Id="rId26" Type="http://schemas.openxmlformats.org/officeDocument/2006/relationships/hyperlink" Target="https://mintransporte.gov.co/loader.php?lServicio=Tools2&amp;lTipo=descargas&amp;lFuncion=descargar&amp;idFile=34069" TargetMode="External"/><Relationship Id="rId21" Type="http://schemas.openxmlformats.org/officeDocument/2006/relationships/hyperlink" Target="https://www.funcionpublica.gov.co/eva/gestornormativo/norma.php?i=209510" TargetMode="External"/><Relationship Id="rId34" Type="http://schemas.openxmlformats.org/officeDocument/2006/relationships/hyperlink" Target="https://storymaps.arcgis.com/stories/f7aa8713e8cb4e1a99d0889800e0df78" TargetMode="External"/><Relationship Id="rId7" Type="http://schemas.openxmlformats.org/officeDocument/2006/relationships/hyperlink" Target="https://www.funcionpublica.gov.co/eva/gestornormativo/norma.php?i=1259" TargetMode="External"/><Relationship Id="rId12" Type="http://schemas.openxmlformats.org/officeDocument/2006/relationships/hyperlink" Target="https://www.alcaldiabogota.gov.co/sisjur/normas/Norma1.jsp?i=62512" TargetMode="External"/><Relationship Id="rId17" Type="http://schemas.openxmlformats.org/officeDocument/2006/relationships/hyperlink" Target="https://colaboracion.dnp.gov.co/CDT/Desarrollo%20Territorial/Portal%20Territorial/RedePlan/Plan%20Desarrollo/Presentaci%C3%B3n%20Metodol%C3%B3gica%20para%20la%20Elaboraci%C3%B3n%20del%20PDM.pdf" TargetMode="External"/><Relationship Id="rId25" Type="http://schemas.openxmlformats.org/officeDocument/2006/relationships/hyperlink" Target="https://www.asocapitales.co/wp-content/uploads/2025/01/PISCC-Armenia-2024-2027.pdf" TargetMode="External"/><Relationship Id="rId33" Type="http://schemas.openxmlformats.org/officeDocument/2006/relationships/hyperlink" Target="https://www.redalyc.org/journal/748/74864040018/html/" TargetMode="Externa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scielo.br/j/urbe/a/LgnGSTvtGWQwgSVrKJsYy5z/?lang=es" TargetMode="External"/><Relationship Id="rId20" Type="http://schemas.openxmlformats.org/officeDocument/2006/relationships/hyperlink" Target="https://www.minvivienda.gov.co/system/files/consultasp/proyecto-de-decreto-espacio-publico.pdf" TargetMode="External"/><Relationship Id="rId29" Type="http://schemas.openxmlformats.org/officeDocument/2006/relationships/hyperlink" Target="https://repositoriocdim.esap.edu.co/bitstreams/b5ed4e43-e4f0-48d3-ad4a-5d2226e5f93f/download" TargetMode="External"/><Relationship Id="rId1" Type="http://schemas.openxmlformats.org/officeDocument/2006/relationships/numbering" Target="numbering.xml"/><Relationship Id="rId6" Type="http://schemas.openxmlformats.org/officeDocument/2006/relationships/hyperlink" Target="https://www.asocapitales.co/wp-content/uploads/2020/11/Armenia_Acuerdo019_POT_2009.pdf" TargetMode="External"/><Relationship Id="rId11" Type="http://schemas.openxmlformats.org/officeDocument/2006/relationships/hyperlink" Target="https://alianzaverde.org.co/images/somos_ambiente/1/PLANES_DE_DESARROLLO.pdf" TargetMode="External"/><Relationship Id="rId24" Type="http://schemas.openxmlformats.org/officeDocument/2006/relationships/hyperlink" Target="https://www.senado.gov.co/index.php/documentos/senado-prensa/6892-proyecto-de-ley-pnd-2022-2026-articulado/file" TargetMode="External"/><Relationship Id="rId32" Type="http://schemas.openxmlformats.org/officeDocument/2006/relationships/hyperlink" Target="https://sisjur.bogotajuridica.gov.co/sisjur/adminverblobawa?tabla=T_NORMA_ARCHIVO&amp;p_NORMFIL_ID=39906&amp;f_NORMFIL_FILE=X&amp;inputfileext=NORMFIL_FILENAME" TargetMode="External"/><Relationship Id="rId37"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https://www.minambiente.gov.co/wp-content/uploads/2021/10/Conpes-3718-de-2012.pdf" TargetMode="External"/><Relationship Id="rId23" Type="http://schemas.openxmlformats.org/officeDocument/2006/relationships/hyperlink" Target="https://colaboracion.dnp.gov.co/CDT/Desarrollo%20Territorial/SisPTOrientaciones/Orientaciones%20-%20Ordenamiento%20Territorial.pdf" TargetMode="External"/><Relationship Id="rId28" Type="http://schemas.openxmlformats.org/officeDocument/2006/relationships/hyperlink" Target="https://www.gob.mx/cms/uploads/attachment/file/359190/manual_accesibilidad_universal1.pdf" TargetMode="External"/><Relationship Id="rId36" Type="http://schemas.openxmlformats.org/officeDocument/2006/relationships/hyperlink" Target="https://upcommons.upc.edu/bitstreams/f6ac0fec-6d43-4d76-9c4c-5484be6af9db/download" TargetMode="External"/><Relationship Id="rId10" Type="http://schemas.openxmlformats.org/officeDocument/2006/relationships/hyperlink" Target="http://www.secretariasenado.gov.co/senado/basedoc/ley_0388_1997.html" TargetMode="External"/><Relationship Id="rId19" Type="http://schemas.openxmlformats.org/officeDocument/2006/relationships/hyperlink" Target="http://www.secretariasenado.gov.co/senado/basedoc/ley_2294_2023.html" TargetMode="External"/><Relationship Id="rId31" Type="http://schemas.openxmlformats.org/officeDocument/2006/relationships/hyperlink" Target="https://www.anla.gov.co/eureka/normativa/decretos/decreto-reglamentario-1077-de-2015-decreto-unico-reglamentario-del-sector-vivienda-ciudad-y-territorio-y-temas-ambientales" TargetMode="External"/><Relationship Id="rId4" Type="http://schemas.openxmlformats.org/officeDocument/2006/relationships/webSettings" Target="webSettings.xml"/><Relationship Id="rId9" Type="http://schemas.openxmlformats.org/officeDocument/2006/relationships/hyperlink" Target="https://www.sopo-cundinamarca.gov.co/loader.php?lServicio=Tools2&amp;lTipo=descargas&amp;lFuncion=visorpdf&amp;id=93&amp;pdf=1" TargetMode="External"/><Relationship Id="rId14" Type="http://schemas.openxmlformats.org/officeDocument/2006/relationships/hyperlink" Target="https://observatorio.dadep.gov.co/sites/default/files/2019/reporte_tecnico_de_indicadores_de_espacio_publico_2019_baja.pdf" TargetMode="External"/><Relationship Id="rId22" Type="http://schemas.openxmlformats.org/officeDocument/2006/relationships/hyperlink" Target="https://www.alcaldiabogota.gov.co/sisjur/normas/Norma1.jsp?i=142257" TargetMode="External"/><Relationship Id="rId27" Type="http://schemas.openxmlformats.org/officeDocument/2006/relationships/hyperlink" Target="https://www.bucaramanga.gov.co/wp-content/uploads/2025/08/Diag_Actualiz_Manual_Esp-Publico_-2025.pdf" TargetMode="External"/><Relationship Id="rId30" Type="http://schemas.openxmlformats.org/officeDocument/2006/relationships/hyperlink" Target="https://www.minenergia.gov.co/documents/4242/22687-Ley_388_de_1997.pdf" TargetMode="External"/><Relationship Id="rId35" Type="http://schemas.openxmlformats.org/officeDocument/2006/relationships/hyperlink" Target="https://www.youtube.com/watch?v=AyGWYgYTU8U" TargetMode="External"/><Relationship Id="rId8" Type="http://schemas.openxmlformats.org/officeDocument/2006/relationships/hyperlink" Target="https://www.funcionpublica.gov.co/eva/gestornormativo/norma.php?i=339" TargetMode="External"/><Relationship Id="rId3"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130</TotalTime>
  <Pages>14</Pages>
  <Words>4787</Words>
  <Characters>27291</Characters>
  <Application>Microsoft Office Word</Application>
  <DocSecurity>0</DocSecurity>
  <Lines>227</Lines>
  <Paragraphs>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jaime castro</dc:creator>
  <cp:lastModifiedBy>jaime castro</cp:lastModifiedBy>
  <cp:revision>3</cp:revision>
  <dcterms:created xsi:type="dcterms:W3CDTF">2026-02-09T16:17:00Z</dcterms:created>
  <dcterms:modified xsi:type="dcterms:W3CDTF">2026-02-09T18:27:00Z</dcterms:modified>
</cp:coreProperties>
</file>